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DAA" w14:textId="77777777" w:rsidR="004279F5" w:rsidRPr="008F1582" w:rsidRDefault="004279F5" w:rsidP="004279F5">
      <w:pPr>
        <w:spacing w:before="120" w:line="276" w:lineRule="auto"/>
        <w:jc w:val="center"/>
        <w:rPr>
          <w:rFonts w:ascii="Arial" w:hAnsi="Arial" w:cs="Arial"/>
          <w:b/>
          <w:szCs w:val="20"/>
          <w:lang w:val="en-GB"/>
        </w:rPr>
      </w:pPr>
      <w:r w:rsidRPr="008F1582">
        <w:rPr>
          <w:rFonts w:ascii="Arial" w:hAnsi="Arial" w:cs="Arial"/>
          <w:b/>
          <w:bCs/>
          <w:szCs w:val="20"/>
          <w:lang w:val="en-GB"/>
        </w:rPr>
        <w:t>ELECTRONIC VOTE</w:t>
      </w:r>
    </w:p>
    <w:p w14:paraId="419DFED7" w14:textId="3ECF8CD3" w:rsidR="004279F5" w:rsidRPr="008F1582" w:rsidRDefault="004279F5" w:rsidP="004279F5">
      <w:pPr>
        <w:spacing w:before="120" w:line="276" w:lineRule="auto"/>
        <w:jc w:val="center"/>
        <w:rPr>
          <w:rFonts w:ascii="Arial" w:hAnsi="Arial" w:cs="Arial"/>
          <w:b/>
          <w:szCs w:val="20"/>
          <w:lang w:val="en-GB"/>
        </w:rPr>
      </w:pPr>
      <w:r w:rsidRPr="008F1582">
        <w:rPr>
          <w:rFonts w:ascii="Arial" w:hAnsi="Arial" w:cs="Arial"/>
          <w:b/>
          <w:bCs/>
          <w:szCs w:val="20"/>
          <w:lang w:val="en-GB"/>
        </w:rPr>
        <w:t>ON THE ITEMS ON THE AGENDA OF THE ANNUAL GENERAL MEETING OF HEPSOR AS TO BE HELD ON 2</w:t>
      </w:r>
      <w:r w:rsidR="00C9408F">
        <w:rPr>
          <w:rFonts w:ascii="Arial" w:hAnsi="Arial" w:cs="Arial"/>
          <w:b/>
          <w:bCs/>
          <w:szCs w:val="20"/>
          <w:lang w:val="en-GB"/>
        </w:rPr>
        <w:t>0</w:t>
      </w:r>
      <w:r w:rsidRPr="008F1582">
        <w:rPr>
          <w:rFonts w:ascii="Arial" w:hAnsi="Arial" w:cs="Arial"/>
          <w:b/>
          <w:bCs/>
          <w:szCs w:val="20"/>
          <w:lang w:val="en-GB"/>
        </w:rPr>
        <w:t>.05.202</w:t>
      </w:r>
      <w:r w:rsidR="00C9408F">
        <w:rPr>
          <w:rFonts w:ascii="Arial" w:hAnsi="Arial" w:cs="Arial"/>
          <w:b/>
          <w:bCs/>
          <w:szCs w:val="20"/>
          <w:lang w:val="en-GB"/>
        </w:rPr>
        <w:t>6</w:t>
      </w:r>
    </w:p>
    <w:p w14:paraId="65465026" w14:textId="77777777" w:rsidR="004279F5" w:rsidRPr="008F1582" w:rsidRDefault="004279F5" w:rsidP="004279F5">
      <w:pPr>
        <w:spacing w:before="120" w:line="276" w:lineRule="auto"/>
        <w:rPr>
          <w:rFonts w:ascii="Arial" w:hAnsi="Arial" w:cs="Arial"/>
          <w:szCs w:val="20"/>
          <w:lang w:val="en-GB"/>
        </w:rPr>
      </w:pPr>
    </w:p>
    <w:p w14:paraId="557DBE09" w14:textId="77777777" w:rsidR="004279F5" w:rsidRPr="008F1582" w:rsidRDefault="004279F5" w:rsidP="004279F5">
      <w:pPr>
        <w:spacing w:before="120" w:line="276" w:lineRule="auto"/>
        <w:rPr>
          <w:rFonts w:ascii="Arial" w:hAnsi="Arial" w:cs="Arial"/>
          <w:bCs/>
          <w:szCs w:val="20"/>
          <w:lang w:val="en-GB"/>
        </w:rPr>
      </w:pPr>
      <w:r w:rsidRPr="008F1582">
        <w:rPr>
          <w:rFonts w:ascii="Arial" w:hAnsi="Arial" w:cs="Arial"/>
          <w:szCs w:val="20"/>
          <w:lang w:val="en-GB"/>
        </w:rPr>
        <w:t>Shareholder information:</w:t>
      </w:r>
    </w:p>
    <w:tbl>
      <w:tblPr>
        <w:tblStyle w:val="TableGrid"/>
        <w:tblW w:w="0" w:type="auto"/>
        <w:tblLook w:val="04A0" w:firstRow="1" w:lastRow="0" w:firstColumn="1" w:lastColumn="0" w:noHBand="0" w:noVBand="1"/>
      </w:tblPr>
      <w:tblGrid>
        <w:gridCol w:w="3397"/>
        <w:gridCol w:w="6237"/>
      </w:tblGrid>
      <w:tr w:rsidR="004279F5" w:rsidRPr="008F1582" w14:paraId="120CFAE5" w14:textId="77777777" w:rsidTr="00583F42">
        <w:tc>
          <w:tcPr>
            <w:tcW w:w="3397" w:type="dxa"/>
            <w:shd w:val="clear" w:color="auto" w:fill="D9D9D9" w:themeFill="background1" w:themeFillShade="D9"/>
          </w:tcPr>
          <w:p w14:paraId="53F03F40"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Name:</w:t>
            </w:r>
          </w:p>
        </w:tc>
        <w:tc>
          <w:tcPr>
            <w:tcW w:w="6237" w:type="dxa"/>
          </w:tcPr>
          <w:p w14:paraId="42B76E3D" w14:textId="77777777" w:rsidR="004279F5" w:rsidRPr="008F1582" w:rsidRDefault="004279F5" w:rsidP="00583F42">
            <w:pPr>
              <w:spacing w:before="120" w:line="276" w:lineRule="auto"/>
              <w:rPr>
                <w:rFonts w:ascii="Arial" w:hAnsi="Arial" w:cs="Arial"/>
                <w:szCs w:val="20"/>
                <w:lang w:val="en-GB"/>
              </w:rPr>
            </w:pPr>
          </w:p>
        </w:tc>
      </w:tr>
      <w:tr w:rsidR="004279F5" w:rsidRPr="008F1582" w14:paraId="1A7AD242" w14:textId="77777777" w:rsidTr="00583F42">
        <w:tc>
          <w:tcPr>
            <w:tcW w:w="3397" w:type="dxa"/>
            <w:shd w:val="clear" w:color="auto" w:fill="D9D9D9" w:themeFill="background1" w:themeFillShade="D9"/>
          </w:tcPr>
          <w:p w14:paraId="1701E9C7"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Personal identification code / Registry code</w:t>
            </w:r>
          </w:p>
        </w:tc>
        <w:tc>
          <w:tcPr>
            <w:tcW w:w="6237" w:type="dxa"/>
          </w:tcPr>
          <w:p w14:paraId="3F722ED1" w14:textId="77777777" w:rsidR="004279F5" w:rsidRPr="008F1582" w:rsidRDefault="004279F5" w:rsidP="00583F42">
            <w:pPr>
              <w:spacing w:before="120" w:line="276" w:lineRule="auto"/>
              <w:rPr>
                <w:rFonts w:ascii="Arial" w:hAnsi="Arial" w:cs="Arial"/>
                <w:szCs w:val="20"/>
                <w:lang w:val="en-GB"/>
              </w:rPr>
            </w:pPr>
          </w:p>
        </w:tc>
      </w:tr>
      <w:tr w:rsidR="004279F5" w:rsidRPr="008F1582" w14:paraId="74CBEA9A" w14:textId="77777777" w:rsidTr="00583F42">
        <w:trPr>
          <w:trHeight w:val="283"/>
        </w:trPr>
        <w:tc>
          <w:tcPr>
            <w:tcW w:w="3397" w:type="dxa"/>
            <w:shd w:val="clear" w:color="auto" w:fill="D9D9D9" w:themeFill="background1" w:themeFillShade="D9"/>
          </w:tcPr>
          <w:p w14:paraId="74E0E8A4"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Place of residence / seat:</w:t>
            </w:r>
          </w:p>
        </w:tc>
        <w:tc>
          <w:tcPr>
            <w:tcW w:w="6237" w:type="dxa"/>
          </w:tcPr>
          <w:p w14:paraId="7349E465" w14:textId="77777777" w:rsidR="004279F5" w:rsidRPr="008F1582" w:rsidRDefault="004279F5" w:rsidP="00583F42">
            <w:pPr>
              <w:spacing w:before="120" w:line="276" w:lineRule="auto"/>
              <w:rPr>
                <w:rFonts w:ascii="Arial" w:hAnsi="Arial" w:cs="Arial"/>
                <w:szCs w:val="20"/>
                <w:lang w:val="en-GB"/>
              </w:rPr>
            </w:pPr>
          </w:p>
        </w:tc>
      </w:tr>
      <w:tr w:rsidR="004279F5" w:rsidRPr="008F1582" w14:paraId="0330DE96" w14:textId="77777777" w:rsidTr="00583F42">
        <w:trPr>
          <w:trHeight w:val="283"/>
        </w:trPr>
        <w:tc>
          <w:tcPr>
            <w:tcW w:w="3397" w:type="dxa"/>
            <w:shd w:val="clear" w:color="auto" w:fill="D9D9D9" w:themeFill="background1" w:themeFillShade="D9"/>
          </w:tcPr>
          <w:p w14:paraId="4DF41626"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E-mail address:</w:t>
            </w:r>
          </w:p>
        </w:tc>
        <w:tc>
          <w:tcPr>
            <w:tcW w:w="6237" w:type="dxa"/>
          </w:tcPr>
          <w:p w14:paraId="2802818E" w14:textId="77777777" w:rsidR="004279F5" w:rsidRPr="008F1582" w:rsidRDefault="004279F5" w:rsidP="00583F42">
            <w:pPr>
              <w:spacing w:before="120" w:line="276" w:lineRule="auto"/>
              <w:rPr>
                <w:rFonts w:ascii="Arial" w:hAnsi="Arial" w:cs="Arial"/>
                <w:szCs w:val="20"/>
                <w:lang w:val="en-GB"/>
              </w:rPr>
            </w:pPr>
          </w:p>
        </w:tc>
      </w:tr>
      <w:tr w:rsidR="004279F5" w:rsidRPr="008F1582" w14:paraId="030D4C8D" w14:textId="77777777" w:rsidTr="00583F42">
        <w:tc>
          <w:tcPr>
            <w:tcW w:w="3397" w:type="dxa"/>
            <w:shd w:val="clear" w:color="auto" w:fill="D9D9D9" w:themeFill="background1" w:themeFillShade="D9"/>
          </w:tcPr>
          <w:p w14:paraId="04D7C43D"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Representative:</w:t>
            </w:r>
          </w:p>
        </w:tc>
        <w:tc>
          <w:tcPr>
            <w:tcW w:w="6237" w:type="dxa"/>
          </w:tcPr>
          <w:p w14:paraId="648FFDED" w14:textId="77777777" w:rsidR="004279F5" w:rsidRPr="008F1582" w:rsidRDefault="004279F5" w:rsidP="00583F42">
            <w:pPr>
              <w:spacing w:before="120" w:line="276" w:lineRule="auto"/>
              <w:rPr>
                <w:rFonts w:ascii="Arial" w:hAnsi="Arial" w:cs="Arial"/>
                <w:szCs w:val="20"/>
                <w:lang w:val="en-GB"/>
              </w:rPr>
            </w:pPr>
          </w:p>
        </w:tc>
      </w:tr>
      <w:tr w:rsidR="004279F5" w:rsidRPr="008F1582" w14:paraId="7A42C2C3" w14:textId="77777777" w:rsidTr="00583F42">
        <w:trPr>
          <w:trHeight w:val="577"/>
        </w:trPr>
        <w:tc>
          <w:tcPr>
            <w:tcW w:w="3397" w:type="dxa"/>
            <w:shd w:val="clear" w:color="auto" w:fill="D9D9D9" w:themeFill="background1" w:themeFillShade="D9"/>
          </w:tcPr>
          <w:p w14:paraId="303E7126"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Basis of the right of representation:</w:t>
            </w:r>
          </w:p>
        </w:tc>
        <w:tc>
          <w:tcPr>
            <w:tcW w:w="6237" w:type="dxa"/>
          </w:tcPr>
          <w:p w14:paraId="668793EC" w14:textId="77777777" w:rsidR="004279F5" w:rsidRPr="008F1582" w:rsidRDefault="004279F5" w:rsidP="00583F42">
            <w:pPr>
              <w:spacing w:before="120" w:line="276" w:lineRule="auto"/>
              <w:rPr>
                <w:rFonts w:ascii="Arial" w:hAnsi="Arial" w:cs="Arial"/>
                <w:szCs w:val="20"/>
                <w:lang w:val="en-GB"/>
              </w:rPr>
            </w:pPr>
          </w:p>
        </w:tc>
      </w:tr>
      <w:tr w:rsidR="004279F5" w:rsidRPr="008F1582" w14:paraId="15845E5B" w14:textId="77777777" w:rsidTr="00583F42">
        <w:trPr>
          <w:trHeight w:val="577"/>
        </w:trPr>
        <w:tc>
          <w:tcPr>
            <w:tcW w:w="3397" w:type="dxa"/>
            <w:shd w:val="clear" w:color="auto" w:fill="D9D9D9" w:themeFill="background1" w:themeFillShade="D9"/>
          </w:tcPr>
          <w:p w14:paraId="6E36A09B"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Votes of the shareholder (number of shares):</w:t>
            </w:r>
          </w:p>
        </w:tc>
        <w:tc>
          <w:tcPr>
            <w:tcW w:w="6237" w:type="dxa"/>
          </w:tcPr>
          <w:p w14:paraId="40BC5E8F" w14:textId="77777777" w:rsidR="004279F5" w:rsidRPr="008F1582" w:rsidRDefault="004279F5" w:rsidP="00583F42">
            <w:pPr>
              <w:spacing w:before="120" w:line="276" w:lineRule="auto"/>
              <w:rPr>
                <w:rFonts w:ascii="Arial" w:hAnsi="Arial" w:cs="Arial"/>
                <w:szCs w:val="20"/>
                <w:lang w:val="en-GB"/>
              </w:rPr>
            </w:pPr>
          </w:p>
        </w:tc>
      </w:tr>
      <w:tr w:rsidR="004279F5" w:rsidRPr="008F1582" w14:paraId="059EA6C8" w14:textId="77777777" w:rsidTr="00583F42">
        <w:trPr>
          <w:trHeight w:val="577"/>
        </w:trPr>
        <w:tc>
          <w:tcPr>
            <w:tcW w:w="3397" w:type="dxa"/>
            <w:shd w:val="clear" w:color="auto" w:fill="D9D9D9" w:themeFill="background1" w:themeFillShade="D9"/>
          </w:tcPr>
          <w:p w14:paraId="12248AB3" w14:textId="77777777" w:rsidR="004279F5" w:rsidRPr="008F1582" w:rsidRDefault="004279F5" w:rsidP="00583F42">
            <w:pPr>
              <w:spacing w:before="120" w:line="276" w:lineRule="auto"/>
              <w:rPr>
                <w:rFonts w:ascii="Arial" w:hAnsi="Arial" w:cs="Arial"/>
                <w:b/>
                <w:bCs/>
                <w:szCs w:val="20"/>
                <w:lang w:val="en-GB"/>
              </w:rPr>
            </w:pPr>
            <w:r w:rsidRPr="008F1582">
              <w:rPr>
                <w:rFonts w:ascii="Arial" w:hAnsi="Arial" w:cs="Arial"/>
                <w:b/>
                <w:bCs/>
                <w:szCs w:val="20"/>
                <w:lang w:val="en-GB"/>
              </w:rPr>
              <w:t>Date of casting the vote:</w:t>
            </w:r>
          </w:p>
        </w:tc>
        <w:tc>
          <w:tcPr>
            <w:tcW w:w="6237" w:type="dxa"/>
          </w:tcPr>
          <w:p w14:paraId="1EE9AD00" w14:textId="77777777" w:rsidR="004279F5" w:rsidRPr="008F1582" w:rsidRDefault="004279F5" w:rsidP="00583F42">
            <w:pPr>
              <w:spacing w:before="120" w:line="276" w:lineRule="auto"/>
              <w:rPr>
                <w:rFonts w:ascii="Arial" w:hAnsi="Arial" w:cs="Arial"/>
                <w:szCs w:val="20"/>
                <w:lang w:val="en-GB"/>
              </w:rPr>
            </w:pPr>
          </w:p>
        </w:tc>
      </w:tr>
    </w:tbl>
    <w:p w14:paraId="3270E89A" w14:textId="77777777" w:rsidR="004279F5" w:rsidRPr="008F1582" w:rsidRDefault="004279F5" w:rsidP="004279F5">
      <w:pPr>
        <w:spacing w:before="120" w:line="276" w:lineRule="auto"/>
        <w:rPr>
          <w:rFonts w:ascii="Arial" w:hAnsi="Arial" w:cs="Arial"/>
          <w:szCs w:val="20"/>
          <w:lang w:val="en-GB"/>
        </w:rPr>
      </w:pPr>
      <w:r w:rsidRPr="008F1582">
        <w:rPr>
          <w:rFonts w:ascii="Arial" w:hAnsi="Arial" w:cs="Arial"/>
          <w:szCs w:val="20"/>
          <w:lang w:val="en-GB"/>
        </w:rPr>
        <w:t>I vote with respect to the following draft resolutions as follows:</w:t>
      </w:r>
    </w:p>
    <w:tbl>
      <w:tblPr>
        <w:tblStyle w:val="TableGrid"/>
        <w:tblW w:w="9663" w:type="dxa"/>
        <w:tblLook w:val="04A0" w:firstRow="1" w:lastRow="0" w:firstColumn="1" w:lastColumn="0" w:noHBand="0" w:noVBand="1"/>
      </w:tblPr>
      <w:tblGrid>
        <w:gridCol w:w="5791"/>
        <w:gridCol w:w="3872"/>
      </w:tblGrid>
      <w:tr w:rsidR="004279F5" w:rsidRPr="008F1582" w14:paraId="54115ED1" w14:textId="77777777" w:rsidTr="00583F42">
        <w:trPr>
          <w:trHeight w:val="274"/>
        </w:trPr>
        <w:tc>
          <w:tcPr>
            <w:tcW w:w="5791" w:type="dxa"/>
            <w:shd w:val="clear" w:color="auto" w:fill="D9D9D9" w:themeFill="background1" w:themeFillShade="D9"/>
          </w:tcPr>
          <w:p w14:paraId="30981A49" w14:textId="77777777" w:rsidR="004279F5" w:rsidRPr="008F1582" w:rsidRDefault="004279F5" w:rsidP="00583F42">
            <w:pPr>
              <w:spacing w:before="120" w:line="276" w:lineRule="auto"/>
              <w:rPr>
                <w:rFonts w:ascii="Arial" w:hAnsi="Arial" w:cs="Arial"/>
                <w:b/>
                <w:szCs w:val="20"/>
                <w:lang w:val="en-GB"/>
              </w:rPr>
            </w:pPr>
            <w:r w:rsidRPr="008F1582">
              <w:rPr>
                <w:rFonts w:ascii="Arial" w:hAnsi="Arial" w:cs="Arial"/>
                <w:b/>
                <w:bCs/>
                <w:szCs w:val="20"/>
                <w:lang w:val="en-GB"/>
              </w:rPr>
              <w:t xml:space="preserve">Agenda item and the respective draft resolution </w:t>
            </w:r>
          </w:p>
        </w:tc>
        <w:tc>
          <w:tcPr>
            <w:tcW w:w="3872" w:type="dxa"/>
          </w:tcPr>
          <w:p w14:paraId="56354127" w14:textId="77777777" w:rsidR="004279F5" w:rsidRPr="008F1582" w:rsidRDefault="004279F5" w:rsidP="00583F42">
            <w:pPr>
              <w:spacing w:before="120" w:line="276" w:lineRule="auto"/>
              <w:rPr>
                <w:rFonts w:ascii="Arial" w:hAnsi="Arial" w:cs="Arial"/>
                <w:b/>
                <w:szCs w:val="20"/>
                <w:lang w:val="en-GB"/>
              </w:rPr>
            </w:pPr>
            <w:r w:rsidRPr="008F1582">
              <w:rPr>
                <w:rFonts w:ascii="Arial" w:hAnsi="Arial" w:cs="Arial"/>
                <w:szCs w:val="20"/>
                <w:lang w:val="en-GB"/>
              </w:rPr>
              <w:t>Vote (</w:t>
            </w:r>
            <w:r w:rsidRPr="008F1582">
              <w:rPr>
                <w:rFonts w:ascii="Arial" w:hAnsi="Arial" w:cs="Arial"/>
                <w:i/>
                <w:iCs/>
                <w:szCs w:val="20"/>
                <w:lang w:val="en-GB"/>
              </w:rPr>
              <w:t>“For” marks a vote in favour and “Against” marks a vote against. Delete the vote that does not apply)</w:t>
            </w:r>
          </w:p>
        </w:tc>
      </w:tr>
      <w:tr w:rsidR="004279F5" w:rsidRPr="008F1582" w14:paraId="490F9710" w14:textId="77777777" w:rsidTr="00583F42">
        <w:trPr>
          <w:trHeight w:val="274"/>
        </w:trPr>
        <w:tc>
          <w:tcPr>
            <w:tcW w:w="5791" w:type="dxa"/>
            <w:shd w:val="clear" w:color="auto" w:fill="D9D9D9" w:themeFill="background1" w:themeFillShade="D9"/>
          </w:tcPr>
          <w:p w14:paraId="396F561D" w14:textId="140C1014" w:rsidR="004279F5" w:rsidRPr="00E36BE6" w:rsidRDefault="004279F5" w:rsidP="004279F5">
            <w:pPr>
              <w:pStyle w:val="ListParagraph"/>
              <w:numPr>
                <w:ilvl w:val="0"/>
                <w:numId w:val="1"/>
              </w:numPr>
              <w:spacing w:before="120" w:line="276" w:lineRule="auto"/>
              <w:jc w:val="left"/>
              <w:rPr>
                <w:rFonts w:ascii="Arial" w:hAnsi="Arial" w:cs="Arial"/>
                <w:b/>
                <w:szCs w:val="20"/>
                <w:lang w:val="en-GB"/>
              </w:rPr>
            </w:pPr>
            <w:r w:rsidRPr="00E36BE6">
              <w:rPr>
                <w:rFonts w:ascii="Arial" w:hAnsi="Arial" w:cs="Arial"/>
                <w:b/>
                <w:bCs/>
                <w:szCs w:val="20"/>
                <w:lang w:val="en-GB"/>
              </w:rPr>
              <w:t>Approval of the 202</w:t>
            </w:r>
            <w:r w:rsidR="00C9408F">
              <w:rPr>
                <w:rFonts w:ascii="Arial" w:hAnsi="Arial" w:cs="Arial"/>
                <w:b/>
                <w:bCs/>
                <w:szCs w:val="20"/>
                <w:lang w:val="en-GB"/>
              </w:rPr>
              <w:t>5</w:t>
            </w:r>
            <w:r w:rsidRPr="00E36BE6">
              <w:rPr>
                <w:rFonts w:ascii="Arial" w:hAnsi="Arial" w:cs="Arial"/>
                <w:b/>
                <w:bCs/>
                <w:szCs w:val="20"/>
                <w:lang w:val="en-GB"/>
              </w:rPr>
              <w:t xml:space="preserve"> annual report </w:t>
            </w:r>
          </w:p>
          <w:p w14:paraId="6F917CD3" w14:textId="702BBA05" w:rsidR="001B7150" w:rsidRPr="001B7150" w:rsidRDefault="00087B65" w:rsidP="001B7150">
            <w:pPr>
              <w:rPr>
                <w:rFonts w:ascii="Arial" w:hAnsi="Arial" w:cs="Arial"/>
                <w:szCs w:val="20"/>
              </w:rPr>
            </w:pPr>
            <w:r>
              <w:rPr>
                <w:rFonts w:ascii="Arial" w:hAnsi="Arial" w:cs="Arial"/>
                <w:szCs w:val="20"/>
                <w:lang w:val="en-GB"/>
              </w:rPr>
              <w:t>Draft resolution</w:t>
            </w:r>
            <w:r w:rsidR="001B7150" w:rsidRPr="001B7150">
              <w:rPr>
                <w:rFonts w:ascii="Arial" w:hAnsi="Arial" w:cs="Arial"/>
                <w:szCs w:val="20"/>
                <w:lang w:val="en-GB"/>
              </w:rPr>
              <w:t>:</w:t>
            </w:r>
          </w:p>
          <w:p w14:paraId="6EC9716C" w14:textId="3B6E96B3" w:rsidR="004279F5" w:rsidRPr="00F43DA4" w:rsidRDefault="001B7150" w:rsidP="001B7150">
            <w:pPr>
              <w:rPr>
                <w:rFonts w:ascii="Arial" w:hAnsi="Arial" w:cs="Arial"/>
                <w:i/>
                <w:iCs/>
                <w:szCs w:val="20"/>
                <w:lang w:val="en-GB"/>
              </w:rPr>
            </w:pPr>
            <w:r w:rsidRPr="001B7150">
              <w:rPr>
                <w:rFonts w:ascii="Arial" w:hAnsi="Arial" w:cs="Arial"/>
                <w:i/>
                <w:iCs/>
                <w:szCs w:val="20"/>
                <w:lang w:val="en-GB"/>
              </w:rPr>
              <w:t>“To approve the 2025 annual report of Hepsor AS in the form as submitted to the general meeting.”</w:t>
            </w:r>
          </w:p>
        </w:tc>
        <w:tc>
          <w:tcPr>
            <w:tcW w:w="3872" w:type="dxa"/>
          </w:tcPr>
          <w:p w14:paraId="41112044" w14:textId="77777777" w:rsidR="004279F5" w:rsidRPr="008F1582" w:rsidRDefault="004279F5" w:rsidP="00583F42">
            <w:pPr>
              <w:spacing w:before="120" w:line="276" w:lineRule="auto"/>
              <w:rPr>
                <w:rFonts w:ascii="Arial" w:hAnsi="Arial" w:cs="Arial"/>
                <w:szCs w:val="20"/>
                <w:lang w:val="en-GB"/>
              </w:rPr>
            </w:pPr>
            <w:r w:rsidRPr="008F1582">
              <w:rPr>
                <w:rFonts w:ascii="Arial" w:hAnsi="Arial" w:cs="Arial"/>
                <w:szCs w:val="20"/>
                <w:lang w:val="en-GB"/>
              </w:rPr>
              <w:t>[For / Against]</w:t>
            </w:r>
          </w:p>
        </w:tc>
      </w:tr>
      <w:tr w:rsidR="00087B65" w:rsidRPr="008F1582" w14:paraId="5CAE1639" w14:textId="77777777" w:rsidTr="00583F42">
        <w:trPr>
          <w:trHeight w:val="274"/>
        </w:trPr>
        <w:tc>
          <w:tcPr>
            <w:tcW w:w="5791" w:type="dxa"/>
            <w:shd w:val="clear" w:color="auto" w:fill="D9D9D9" w:themeFill="background1" w:themeFillShade="D9"/>
          </w:tcPr>
          <w:p w14:paraId="587AD54D" w14:textId="77777777" w:rsidR="00087B65" w:rsidRDefault="00087B65" w:rsidP="00087B65">
            <w:pPr>
              <w:pStyle w:val="ListParagraph"/>
              <w:numPr>
                <w:ilvl w:val="0"/>
                <w:numId w:val="1"/>
              </w:numPr>
              <w:spacing w:before="120" w:line="276" w:lineRule="auto"/>
              <w:jc w:val="left"/>
              <w:rPr>
                <w:rFonts w:ascii="Arial" w:hAnsi="Arial" w:cs="Arial"/>
                <w:b/>
                <w:bCs/>
                <w:szCs w:val="20"/>
                <w:lang w:val="en-GB"/>
              </w:rPr>
            </w:pPr>
            <w:r>
              <w:rPr>
                <w:rFonts w:ascii="Arial" w:hAnsi="Arial" w:cs="Arial"/>
                <w:b/>
                <w:bCs/>
                <w:szCs w:val="20"/>
                <w:lang w:val="en-GB"/>
              </w:rPr>
              <w:t>Distribution of profit</w:t>
            </w:r>
          </w:p>
          <w:p w14:paraId="10FF43FD" w14:textId="3887692D" w:rsidR="00087B65" w:rsidRPr="001B7150" w:rsidRDefault="00087B65" w:rsidP="00087B65">
            <w:pPr>
              <w:spacing w:before="120" w:line="276" w:lineRule="auto"/>
              <w:jc w:val="left"/>
              <w:rPr>
                <w:rFonts w:ascii="Arial" w:hAnsi="Arial" w:cs="Arial"/>
                <w:szCs w:val="20"/>
              </w:rPr>
            </w:pPr>
            <w:bookmarkStart w:id="0" w:name="_Hlk164773640"/>
            <w:r>
              <w:rPr>
                <w:rFonts w:ascii="Arial" w:hAnsi="Arial" w:cs="Arial"/>
                <w:szCs w:val="20"/>
                <w:lang w:val="en-GB"/>
              </w:rPr>
              <w:t>Draft resolution</w:t>
            </w:r>
            <w:r w:rsidRPr="001B7150">
              <w:rPr>
                <w:rFonts w:ascii="Arial" w:hAnsi="Arial" w:cs="Arial"/>
                <w:szCs w:val="20"/>
                <w:lang w:val="en-GB"/>
              </w:rPr>
              <w:t>:</w:t>
            </w:r>
          </w:p>
          <w:p w14:paraId="2BE002A0" w14:textId="77777777" w:rsidR="00087B65" w:rsidRPr="001B7150" w:rsidRDefault="00087B65" w:rsidP="00087B65">
            <w:pPr>
              <w:spacing w:before="120" w:line="276" w:lineRule="auto"/>
              <w:jc w:val="left"/>
              <w:rPr>
                <w:rFonts w:ascii="Arial" w:hAnsi="Arial" w:cs="Arial"/>
                <w:i/>
                <w:iCs/>
                <w:szCs w:val="20"/>
                <w:lang w:val="en-GB"/>
              </w:rPr>
            </w:pPr>
            <w:r w:rsidRPr="001B7150">
              <w:rPr>
                <w:rFonts w:ascii="Arial" w:hAnsi="Arial" w:cs="Arial"/>
                <w:i/>
                <w:iCs/>
                <w:szCs w:val="20"/>
                <w:lang w:val="en-GB"/>
              </w:rPr>
              <w:t>“Retained earnings from previous periods is EUR 7,257 thousand. The net profit for the 2025 financial year is EUR 399 thousand. Therefore, the total distributable profit is EUR 7,656 thousand. To distribute the profit as follows:</w:t>
            </w:r>
          </w:p>
          <w:p w14:paraId="4BD18A11" w14:textId="77777777" w:rsidR="00087B65" w:rsidRPr="001B7150" w:rsidRDefault="00087B65" w:rsidP="00087B65">
            <w:pPr>
              <w:numPr>
                <w:ilvl w:val="0"/>
                <w:numId w:val="4"/>
              </w:numPr>
              <w:spacing w:before="120" w:line="276" w:lineRule="auto"/>
              <w:jc w:val="left"/>
              <w:rPr>
                <w:rFonts w:ascii="Arial" w:hAnsi="Arial" w:cs="Arial"/>
                <w:i/>
                <w:iCs/>
                <w:szCs w:val="20"/>
                <w:lang w:val="en-GB"/>
              </w:rPr>
            </w:pPr>
            <w:r w:rsidRPr="001B7150">
              <w:rPr>
                <w:rFonts w:ascii="Arial" w:hAnsi="Arial" w:cs="Arial"/>
                <w:i/>
                <w:iCs/>
                <w:szCs w:val="20"/>
                <w:lang w:val="en-GB"/>
              </w:rPr>
              <w:t>to pay a dividend of EUR 0.27 per share, i.e. to distribute the profit in the amount of EUR 1,056 thousand as dividends to shareholders;</w:t>
            </w:r>
          </w:p>
          <w:p w14:paraId="40AA9521" w14:textId="77777777" w:rsidR="00087B65" w:rsidRPr="001B7150" w:rsidRDefault="00087B65" w:rsidP="00087B65">
            <w:pPr>
              <w:numPr>
                <w:ilvl w:val="0"/>
                <w:numId w:val="4"/>
              </w:numPr>
              <w:spacing w:before="120" w:line="276" w:lineRule="auto"/>
              <w:jc w:val="left"/>
              <w:rPr>
                <w:rFonts w:ascii="Arial" w:hAnsi="Arial" w:cs="Arial"/>
                <w:i/>
                <w:iCs/>
                <w:szCs w:val="20"/>
                <w:lang w:val="en-GB"/>
              </w:rPr>
            </w:pPr>
            <w:r w:rsidRPr="001B7150">
              <w:rPr>
                <w:rFonts w:ascii="Arial" w:hAnsi="Arial" w:cs="Arial"/>
                <w:i/>
                <w:iCs/>
                <w:szCs w:val="20"/>
                <w:lang w:val="en-GB"/>
              </w:rPr>
              <w:t>to leave the remaining retained earnings in the amount of EUR 6,600 thousand undistributed.</w:t>
            </w:r>
          </w:p>
          <w:bookmarkEnd w:id="0"/>
          <w:p w14:paraId="78401BA1" w14:textId="785A1B5B" w:rsidR="00087B65" w:rsidRPr="001B7150" w:rsidRDefault="00087B65" w:rsidP="00087B65">
            <w:pPr>
              <w:spacing w:before="120" w:line="276" w:lineRule="auto"/>
              <w:jc w:val="left"/>
              <w:rPr>
                <w:rFonts w:ascii="Arial" w:hAnsi="Arial" w:cs="Arial"/>
                <w:i/>
                <w:iCs/>
                <w:szCs w:val="20"/>
                <w:lang w:val="en-GB"/>
              </w:rPr>
            </w:pPr>
            <w:r w:rsidRPr="001B7150">
              <w:rPr>
                <w:rFonts w:ascii="Arial" w:hAnsi="Arial" w:cs="Arial"/>
                <w:i/>
                <w:iCs/>
                <w:szCs w:val="20"/>
                <w:lang w:val="en-GB"/>
              </w:rPr>
              <w:lastRenderedPageBreak/>
              <w:t>The record date for shareholders entitled to dividends is 12.06.2026 at the end of the Nasdaq CSD Estonian settlement system business day. Accordingly, the ex-date is 11.06.2026.</w:t>
            </w:r>
            <w:r w:rsidRPr="001B7150">
              <w:rPr>
                <w:rFonts w:ascii="Arial" w:hAnsi="Arial" w:cs="Arial"/>
                <w:szCs w:val="20"/>
                <w:lang w:val="en-GB"/>
              </w:rPr>
              <w:t xml:space="preserve"> </w:t>
            </w:r>
            <w:r w:rsidRPr="001B7150">
              <w:rPr>
                <w:rFonts w:ascii="Arial" w:hAnsi="Arial" w:cs="Arial"/>
                <w:i/>
                <w:iCs/>
                <w:szCs w:val="20"/>
                <w:lang w:val="en-GB"/>
              </w:rPr>
              <w:t>Dividends will be paid to shareholders on 19.06.2026 by transfer to the shareholder’s bank account.”</w:t>
            </w:r>
          </w:p>
        </w:tc>
        <w:tc>
          <w:tcPr>
            <w:tcW w:w="3872" w:type="dxa"/>
          </w:tcPr>
          <w:p w14:paraId="4E70E92C" w14:textId="1701FC34" w:rsidR="00087B65" w:rsidRPr="008F1582" w:rsidRDefault="00087B65" w:rsidP="00087B65">
            <w:pPr>
              <w:spacing w:before="120" w:line="276" w:lineRule="auto"/>
              <w:rPr>
                <w:rFonts w:ascii="Arial" w:hAnsi="Arial" w:cs="Arial"/>
                <w:szCs w:val="20"/>
                <w:lang w:val="en-GB"/>
              </w:rPr>
            </w:pPr>
            <w:r w:rsidRPr="008F1582">
              <w:rPr>
                <w:rFonts w:ascii="Arial" w:hAnsi="Arial" w:cs="Arial"/>
                <w:szCs w:val="20"/>
                <w:lang w:val="en-GB"/>
              </w:rPr>
              <w:lastRenderedPageBreak/>
              <w:t>[For / Against]</w:t>
            </w:r>
          </w:p>
        </w:tc>
      </w:tr>
      <w:tr w:rsidR="00087B65" w:rsidRPr="008F1582" w14:paraId="1A2B7535" w14:textId="77777777" w:rsidTr="00583F42">
        <w:trPr>
          <w:trHeight w:val="274"/>
        </w:trPr>
        <w:tc>
          <w:tcPr>
            <w:tcW w:w="5791" w:type="dxa"/>
            <w:shd w:val="clear" w:color="auto" w:fill="D9D9D9" w:themeFill="background1" w:themeFillShade="D9"/>
          </w:tcPr>
          <w:p w14:paraId="49346863" w14:textId="77777777" w:rsidR="00087B65" w:rsidRDefault="00087B65" w:rsidP="00087B65">
            <w:pPr>
              <w:pStyle w:val="ListParagraph"/>
              <w:numPr>
                <w:ilvl w:val="0"/>
                <w:numId w:val="1"/>
              </w:numPr>
              <w:spacing w:before="120" w:line="276" w:lineRule="auto"/>
              <w:jc w:val="left"/>
              <w:rPr>
                <w:rFonts w:ascii="Arial" w:hAnsi="Arial" w:cs="Arial"/>
                <w:b/>
                <w:bCs/>
                <w:szCs w:val="20"/>
                <w:lang w:val="en-GB"/>
              </w:rPr>
            </w:pPr>
            <w:r>
              <w:rPr>
                <w:rFonts w:ascii="Arial" w:hAnsi="Arial" w:cs="Arial"/>
                <w:b/>
                <w:bCs/>
                <w:szCs w:val="20"/>
                <w:lang w:val="en-GB"/>
              </w:rPr>
              <w:t>Approval of transaction</w:t>
            </w:r>
          </w:p>
          <w:p w14:paraId="44DBD87B" w14:textId="77777777" w:rsidR="007B19F9" w:rsidRPr="007B19F9" w:rsidRDefault="007B19F9" w:rsidP="007B19F9">
            <w:pPr>
              <w:spacing w:before="120" w:line="276" w:lineRule="auto"/>
              <w:jc w:val="left"/>
              <w:rPr>
                <w:rFonts w:ascii="Arial" w:hAnsi="Arial" w:cs="Arial"/>
                <w:szCs w:val="20"/>
                <w:lang w:val="en-GB"/>
              </w:rPr>
            </w:pPr>
            <w:r w:rsidRPr="007B19F9">
              <w:rPr>
                <w:rFonts w:ascii="Arial" w:hAnsi="Arial" w:cs="Arial"/>
                <w:szCs w:val="20"/>
                <w:lang w:val="en-GB"/>
              </w:rPr>
              <w:t>Draft resolution:</w:t>
            </w:r>
          </w:p>
          <w:p w14:paraId="58D65CFA" w14:textId="1AE8D4BC" w:rsidR="007B19F9" w:rsidRPr="007B19F9" w:rsidRDefault="007B19F9" w:rsidP="007B19F9">
            <w:pPr>
              <w:spacing w:before="120" w:line="276" w:lineRule="auto"/>
              <w:jc w:val="left"/>
              <w:rPr>
                <w:rFonts w:ascii="Arial" w:hAnsi="Arial" w:cs="Arial"/>
                <w:b/>
                <w:bCs/>
                <w:i/>
                <w:iCs/>
                <w:szCs w:val="20"/>
                <w:lang w:val="en-GB"/>
              </w:rPr>
            </w:pPr>
            <w:r w:rsidRPr="007B19F9">
              <w:rPr>
                <w:rFonts w:ascii="Arial" w:hAnsi="Arial" w:cs="Arial"/>
                <w:i/>
                <w:iCs/>
                <w:szCs w:val="20"/>
                <w:lang w:val="en-GB"/>
              </w:rPr>
              <w:t xml:space="preserve">“To approve the transactions arising from the HEPSOR PHX5 OÜ shareholders’ agreement entered into on </w:t>
            </w:r>
            <w:r w:rsidR="004853CA">
              <w:rPr>
                <w:rFonts w:ascii="Arial" w:hAnsi="Arial" w:cs="Arial"/>
                <w:i/>
                <w:iCs/>
                <w:szCs w:val="20"/>
                <w:lang w:val="en-GB"/>
              </w:rPr>
              <w:t>18.12.2025</w:t>
            </w:r>
            <w:r w:rsidRPr="007B19F9">
              <w:rPr>
                <w:rFonts w:ascii="Arial" w:hAnsi="Arial" w:cs="Arial"/>
                <w:i/>
                <w:iCs/>
                <w:szCs w:val="20"/>
                <w:lang w:val="en-GB"/>
              </w:rPr>
              <w:t xml:space="preserve"> between HEPSOR PHX5 OÜ, Hepsor AS and AS Phoenix Land.”</w:t>
            </w:r>
          </w:p>
        </w:tc>
        <w:tc>
          <w:tcPr>
            <w:tcW w:w="3872" w:type="dxa"/>
          </w:tcPr>
          <w:p w14:paraId="32B9BA43" w14:textId="65C27C2F" w:rsidR="00087B65" w:rsidRPr="008F1582" w:rsidRDefault="00087B65" w:rsidP="00087B65">
            <w:pPr>
              <w:spacing w:before="120" w:line="276" w:lineRule="auto"/>
              <w:rPr>
                <w:rFonts w:ascii="Arial" w:hAnsi="Arial" w:cs="Arial"/>
                <w:szCs w:val="20"/>
                <w:lang w:val="en-GB"/>
              </w:rPr>
            </w:pPr>
            <w:r w:rsidRPr="008F1582">
              <w:rPr>
                <w:rFonts w:ascii="Arial" w:hAnsi="Arial" w:cs="Arial"/>
                <w:szCs w:val="20"/>
                <w:lang w:val="en-GB"/>
              </w:rPr>
              <w:t>[For / Against]</w:t>
            </w:r>
          </w:p>
        </w:tc>
      </w:tr>
      <w:tr w:rsidR="00087B65" w:rsidRPr="008F1582" w14:paraId="6A65874C" w14:textId="77777777" w:rsidTr="00583F42">
        <w:trPr>
          <w:trHeight w:val="274"/>
        </w:trPr>
        <w:tc>
          <w:tcPr>
            <w:tcW w:w="5791" w:type="dxa"/>
            <w:shd w:val="clear" w:color="auto" w:fill="D9D9D9" w:themeFill="background1" w:themeFillShade="D9"/>
          </w:tcPr>
          <w:p w14:paraId="762309CA" w14:textId="022088CD" w:rsidR="00087B65" w:rsidRPr="007B19F9" w:rsidRDefault="007B19F9" w:rsidP="00087B65">
            <w:pPr>
              <w:pStyle w:val="ListParagraph"/>
              <w:numPr>
                <w:ilvl w:val="0"/>
                <w:numId w:val="1"/>
              </w:numPr>
              <w:spacing w:before="120" w:line="276" w:lineRule="auto"/>
              <w:jc w:val="left"/>
              <w:rPr>
                <w:rFonts w:ascii="Arial" w:hAnsi="Arial" w:cs="Arial"/>
                <w:b/>
                <w:szCs w:val="20"/>
                <w:lang w:val="en-GB"/>
              </w:rPr>
            </w:pPr>
            <w:r>
              <w:rPr>
                <w:rFonts w:ascii="Arial" w:hAnsi="Arial" w:cs="Arial"/>
                <w:b/>
                <w:bCs/>
                <w:color w:val="000000" w:themeColor="text1"/>
                <w:lang w:val="en-GB"/>
              </w:rPr>
              <w:t>Appointment of auditor</w:t>
            </w:r>
          </w:p>
          <w:p w14:paraId="335A9AE1" w14:textId="7889F6FB" w:rsidR="007B19F9" w:rsidRPr="007B19F9" w:rsidRDefault="007B19F9" w:rsidP="007B19F9">
            <w:pPr>
              <w:spacing w:before="120" w:line="276" w:lineRule="auto"/>
              <w:jc w:val="left"/>
              <w:rPr>
                <w:rFonts w:ascii="Arial" w:hAnsi="Arial" w:cs="Arial"/>
                <w:bCs/>
                <w:szCs w:val="20"/>
                <w:lang w:val="en-GB"/>
              </w:rPr>
            </w:pPr>
            <w:r w:rsidRPr="007B19F9">
              <w:rPr>
                <w:rFonts w:ascii="Arial" w:hAnsi="Arial" w:cs="Arial"/>
                <w:bCs/>
                <w:szCs w:val="20"/>
                <w:lang w:val="en-GB"/>
              </w:rPr>
              <w:t>Draft resolution:</w:t>
            </w:r>
          </w:p>
          <w:p w14:paraId="0112270C" w14:textId="5FD500B4" w:rsidR="00087B65" w:rsidRPr="00C80704" w:rsidRDefault="007B19F9" w:rsidP="007B19F9">
            <w:pPr>
              <w:rPr>
                <w:rFonts w:ascii="Arial" w:eastAsiaTheme="minorHAnsi" w:hAnsi="Arial" w:cs="Arial"/>
                <w:i/>
                <w:iCs/>
                <w:szCs w:val="20"/>
                <w:lang w:val="en-GB"/>
              </w:rPr>
            </w:pPr>
            <w:r w:rsidRPr="007B19F9">
              <w:rPr>
                <w:rFonts w:ascii="Arial" w:hAnsi="Arial" w:cs="Arial"/>
                <w:i/>
                <w:iCs/>
                <w:szCs w:val="20"/>
                <w:lang w:val="en-GB"/>
              </w:rPr>
              <w:t>“To appoint Grant Thornton Baltic OÜ (registry code 10384467) as the auditor of Hepsor AS for the audit of the annual reports for the financial years 2026 and 2027, and to determine the auditor’s remuneration in accordance with the agreement to be entered into with the auditor, and to authorise the management board of Hepsor AS to enter into such agreement.”</w:t>
            </w:r>
          </w:p>
        </w:tc>
        <w:tc>
          <w:tcPr>
            <w:tcW w:w="3872" w:type="dxa"/>
          </w:tcPr>
          <w:p w14:paraId="30709735" w14:textId="77777777" w:rsidR="00087B65" w:rsidRPr="008F1582" w:rsidRDefault="00087B65" w:rsidP="00087B65">
            <w:pPr>
              <w:spacing w:before="120" w:line="276" w:lineRule="auto"/>
              <w:rPr>
                <w:rFonts w:ascii="Arial" w:hAnsi="Arial" w:cs="Arial"/>
                <w:szCs w:val="20"/>
                <w:lang w:val="en-GB"/>
              </w:rPr>
            </w:pPr>
            <w:r w:rsidRPr="008F1582">
              <w:rPr>
                <w:rFonts w:ascii="Arial" w:hAnsi="Arial" w:cs="Arial"/>
                <w:szCs w:val="20"/>
                <w:lang w:val="en-GB"/>
              </w:rPr>
              <w:t>[For / Against]</w:t>
            </w:r>
          </w:p>
        </w:tc>
      </w:tr>
    </w:tbl>
    <w:p w14:paraId="21041311" w14:textId="77777777" w:rsidR="004279F5" w:rsidRPr="008F1582" w:rsidRDefault="004279F5" w:rsidP="004279F5">
      <w:pPr>
        <w:spacing w:before="120" w:line="276" w:lineRule="auto"/>
        <w:rPr>
          <w:rFonts w:ascii="Arial" w:hAnsi="Arial" w:cs="Arial"/>
          <w:szCs w:val="20"/>
          <w:lang w:val="en-GB"/>
        </w:rPr>
      </w:pPr>
    </w:p>
    <w:p w14:paraId="345C284D" w14:textId="77777777" w:rsidR="004279F5" w:rsidRPr="008F1582" w:rsidRDefault="004279F5" w:rsidP="004279F5">
      <w:pPr>
        <w:spacing w:before="120" w:line="276" w:lineRule="auto"/>
        <w:rPr>
          <w:rFonts w:ascii="Arial" w:hAnsi="Arial" w:cs="Arial"/>
          <w:i/>
          <w:iCs/>
          <w:szCs w:val="20"/>
          <w:lang w:val="en-GB"/>
        </w:rPr>
      </w:pPr>
      <w:r w:rsidRPr="008F1582">
        <w:rPr>
          <w:rFonts w:ascii="Arial" w:hAnsi="Arial" w:cs="Arial"/>
          <w:i/>
          <w:iCs/>
          <w:szCs w:val="20"/>
          <w:lang w:val="en-GB"/>
        </w:rPr>
        <w:t>/</w:t>
      </w:r>
      <w:proofErr w:type="gramStart"/>
      <w:r w:rsidRPr="008F1582">
        <w:rPr>
          <w:rFonts w:ascii="Arial" w:hAnsi="Arial" w:cs="Arial"/>
          <w:i/>
          <w:iCs/>
          <w:szCs w:val="20"/>
          <w:lang w:val="en-GB"/>
        </w:rPr>
        <w:t>signed</w:t>
      </w:r>
      <w:proofErr w:type="gramEnd"/>
      <w:r w:rsidRPr="008F1582">
        <w:rPr>
          <w:rFonts w:ascii="Arial" w:hAnsi="Arial" w:cs="Arial"/>
          <w:i/>
          <w:iCs/>
          <w:szCs w:val="20"/>
          <w:lang w:val="en-GB"/>
        </w:rPr>
        <w:t xml:space="preserve"> digitally/</w:t>
      </w:r>
    </w:p>
    <w:p w14:paraId="4E82E37E" w14:textId="77777777" w:rsidR="004279F5" w:rsidRPr="008F1582" w:rsidRDefault="004279F5" w:rsidP="004279F5">
      <w:pPr>
        <w:spacing w:before="120" w:line="276" w:lineRule="auto"/>
        <w:rPr>
          <w:rFonts w:ascii="Arial" w:hAnsi="Arial" w:cs="Arial"/>
          <w:szCs w:val="20"/>
          <w:lang w:val="en-GB"/>
        </w:rPr>
      </w:pPr>
      <w:r w:rsidRPr="008F1582">
        <w:rPr>
          <w:rFonts w:ascii="Arial" w:hAnsi="Arial" w:cs="Arial"/>
          <w:szCs w:val="20"/>
          <w:lang w:val="en-GB"/>
        </w:rPr>
        <w:t>[Name of the shareholder]</w:t>
      </w:r>
    </w:p>
    <w:p w14:paraId="0E5E4A98" w14:textId="77777777" w:rsidR="004279F5" w:rsidRPr="008F1582" w:rsidRDefault="004279F5" w:rsidP="004279F5">
      <w:pPr>
        <w:spacing w:before="120" w:line="276" w:lineRule="auto"/>
        <w:jc w:val="left"/>
        <w:rPr>
          <w:rFonts w:ascii="Arial" w:hAnsi="Arial" w:cs="Arial"/>
          <w:color w:val="000000" w:themeColor="text1"/>
          <w:szCs w:val="20"/>
          <w:shd w:val="clear" w:color="auto" w:fill="FFFFFF"/>
          <w:lang w:val="en-GB"/>
        </w:rPr>
      </w:pPr>
      <w:r w:rsidRPr="008F1582">
        <w:rPr>
          <w:rFonts w:ascii="Arial" w:hAnsi="Arial" w:cs="Arial"/>
          <w:color w:val="000000" w:themeColor="text1"/>
          <w:szCs w:val="20"/>
          <w:shd w:val="clear" w:color="auto" w:fill="FFFFFF"/>
          <w:lang w:val="en-GB"/>
        </w:rPr>
        <w:t xml:space="preserve"> </w:t>
      </w:r>
    </w:p>
    <w:p w14:paraId="52605952" w14:textId="77777777" w:rsidR="004279F5" w:rsidRPr="008F1582" w:rsidRDefault="004279F5" w:rsidP="004279F5">
      <w:pPr>
        <w:spacing w:before="120" w:line="276" w:lineRule="auto"/>
        <w:rPr>
          <w:lang w:val="en-GB"/>
        </w:rPr>
      </w:pPr>
    </w:p>
    <w:p w14:paraId="5807CBD4" w14:textId="77777777" w:rsidR="00D00B1E" w:rsidRDefault="00D00B1E"/>
    <w:sectPr w:rsidR="00D00B1E" w:rsidSect="004279F5">
      <w:headerReference w:type="default" r:id="rId8"/>
      <w:pgSz w:w="11900" w:h="16840"/>
      <w:pgMar w:top="1418" w:right="1021" w:bottom="1418" w:left="1021"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9C40" w14:textId="77777777" w:rsidR="007B2823" w:rsidRDefault="007B2823">
      <w:pPr>
        <w:spacing w:before="0" w:after="0"/>
      </w:pPr>
      <w:r>
        <w:separator/>
      </w:r>
    </w:p>
  </w:endnote>
  <w:endnote w:type="continuationSeparator" w:id="0">
    <w:p w14:paraId="131B7D32" w14:textId="77777777" w:rsidR="007B2823" w:rsidRDefault="007B2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96BD" w14:textId="77777777" w:rsidR="007B2823" w:rsidRDefault="007B2823">
      <w:pPr>
        <w:spacing w:before="0" w:after="0"/>
      </w:pPr>
      <w:r>
        <w:separator/>
      </w:r>
    </w:p>
  </w:footnote>
  <w:footnote w:type="continuationSeparator" w:id="0">
    <w:p w14:paraId="70C5765C" w14:textId="77777777" w:rsidR="007B2823" w:rsidRDefault="007B28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9028" w14:textId="77777777" w:rsidR="004279F5" w:rsidRDefault="004279F5" w:rsidP="007F1C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608"/>
    <w:multiLevelType w:val="hybridMultilevel"/>
    <w:tmpl w:val="C234CE8E"/>
    <w:lvl w:ilvl="0" w:tplc="FFFFFFFF">
      <w:start w:val="1"/>
      <w:numFmt w:val="lowerRoman"/>
      <w:lvlText w:val="(%1)"/>
      <w:lvlJc w:val="left"/>
      <w:pPr>
        <w:ind w:left="785" w:hanging="360"/>
      </w:p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1" w15:restartNumberingAfterBreak="0">
    <w:nsid w:val="3BF27806"/>
    <w:multiLevelType w:val="hybridMultilevel"/>
    <w:tmpl w:val="C18A729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62101CE"/>
    <w:multiLevelType w:val="hybridMultilevel"/>
    <w:tmpl w:val="C95A0720"/>
    <w:lvl w:ilvl="0" w:tplc="659A29B0">
      <w:start w:val="5"/>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781A54C5"/>
    <w:multiLevelType w:val="hybridMultilevel"/>
    <w:tmpl w:val="8A1A96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6806367">
    <w:abstractNumId w:val="3"/>
  </w:num>
  <w:num w:numId="2" w16cid:durableId="2097096201">
    <w:abstractNumId w:val="1"/>
  </w:num>
  <w:num w:numId="3" w16cid:durableId="1575161400">
    <w:abstractNumId w:val="2"/>
  </w:num>
  <w:num w:numId="4" w16cid:durableId="148453869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F5"/>
    <w:rsid w:val="00087B65"/>
    <w:rsid w:val="001B7150"/>
    <w:rsid w:val="001E4D21"/>
    <w:rsid w:val="004279F5"/>
    <w:rsid w:val="004853CA"/>
    <w:rsid w:val="004906E7"/>
    <w:rsid w:val="007A0431"/>
    <w:rsid w:val="007B19F9"/>
    <w:rsid w:val="007B2823"/>
    <w:rsid w:val="00973402"/>
    <w:rsid w:val="00A0259B"/>
    <w:rsid w:val="00A31A6F"/>
    <w:rsid w:val="00C66915"/>
    <w:rsid w:val="00C9408F"/>
    <w:rsid w:val="00D00B1E"/>
    <w:rsid w:val="00F07DA9"/>
    <w:rsid w:val="00F75599"/>
    <w:rsid w:val="00FE054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793B"/>
  <w15:chartTrackingRefBased/>
  <w15:docId w15:val="{E45D1FBC-91A4-413B-A1EF-D4629A9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F5"/>
    <w:pPr>
      <w:spacing w:before="200" w:after="120" w:line="240" w:lineRule="auto"/>
      <w:jc w:val="both"/>
    </w:pPr>
    <w:rPr>
      <w:rFonts w:eastAsiaTheme="minorEastAsia"/>
      <w:kern w:val="0"/>
      <w:sz w:val="20"/>
      <w14:ligatures w14:val="none"/>
    </w:rPr>
  </w:style>
  <w:style w:type="paragraph" w:styleId="Heading1">
    <w:name w:val="heading 1"/>
    <w:basedOn w:val="Normal"/>
    <w:next w:val="Normal"/>
    <w:link w:val="Heading1Char"/>
    <w:uiPriority w:val="9"/>
    <w:qFormat/>
    <w:rsid w:val="00427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9F5"/>
    <w:rPr>
      <w:rFonts w:eastAsiaTheme="majorEastAsia" w:cstheme="majorBidi"/>
      <w:color w:val="272727" w:themeColor="text1" w:themeTint="D8"/>
    </w:rPr>
  </w:style>
  <w:style w:type="paragraph" w:styleId="Title">
    <w:name w:val="Title"/>
    <w:basedOn w:val="Normal"/>
    <w:next w:val="Normal"/>
    <w:link w:val="TitleChar"/>
    <w:uiPriority w:val="10"/>
    <w:qFormat/>
    <w:rsid w:val="004279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9F5"/>
    <w:pPr>
      <w:spacing w:before="160"/>
      <w:jc w:val="center"/>
    </w:pPr>
    <w:rPr>
      <w:i/>
      <w:iCs/>
      <w:color w:val="404040" w:themeColor="text1" w:themeTint="BF"/>
    </w:rPr>
  </w:style>
  <w:style w:type="character" w:customStyle="1" w:styleId="QuoteChar">
    <w:name w:val="Quote Char"/>
    <w:basedOn w:val="DefaultParagraphFont"/>
    <w:link w:val="Quote"/>
    <w:uiPriority w:val="29"/>
    <w:rsid w:val="004279F5"/>
    <w:rPr>
      <w:i/>
      <w:iCs/>
      <w:color w:val="404040" w:themeColor="text1" w:themeTint="BF"/>
    </w:rPr>
  </w:style>
  <w:style w:type="paragraph" w:styleId="ListParagraph">
    <w:name w:val="List Paragraph"/>
    <w:basedOn w:val="Normal"/>
    <w:uiPriority w:val="34"/>
    <w:qFormat/>
    <w:rsid w:val="004279F5"/>
    <w:pPr>
      <w:ind w:left="720"/>
      <w:contextualSpacing/>
    </w:pPr>
  </w:style>
  <w:style w:type="character" w:styleId="IntenseEmphasis">
    <w:name w:val="Intense Emphasis"/>
    <w:basedOn w:val="DefaultParagraphFont"/>
    <w:uiPriority w:val="21"/>
    <w:qFormat/>
    <w:rsid w:val="004279F5"/>
    <w:rPr>
      <w:i/>
      <w:iCs/>
      <w:color w:val="0F4761" w:themeColor="accent1" w:themeShade="BF"/>
    </w:rPr>
  </w:style>
  <w:style w:type="paragraph" w:styleId="IntenseQuote">
    <w:name w:val="Intense Quote"/>
    <w:basedOn w:val="Normal"/>
    <w:next w:val="Normal"/>
    <w:link w:val="IntenseQuoteChar"/>
    <w:uiPriority w:val="30"/>
    <w:qFormat/>
    <w:rsid w:val="00427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9F5"/>
    <w:rPr>
      <w:i/>
      <w:iCs/>
      <w:color w:val="0F4761" w:themeColor="accent1" w:themeShade="BF"/>
    </w:rPr>
  </w:style>
  <w:style w:type="character" w:styleId="IntenseReference">
    <w:name w:val="Intense Reference"/>
    <w:basedOn w:val="DefaultParagraphFont"/>
    <w:uiPriority w:val="32"/>
    <w:qFormat/>
    <w:rsid w:val="004279F5"/>
    <w:rPr>
      <w:b/>
      <w:bCs/>
      <w:smallCaps/>
      <w:color w:val="0F4761" w:themeColor="accent1" w:themeShade="BF"/>
      <w:spacing w:val="5"/>
    </w:rPr>
  </w:style>
  <w:style w:type="paragraph" w:styleId="Header">
    <w:name w:val="header"/>
    <w:basedOn w:val="Normal"/>
    <w:link w:val="HeaderChar"/>
    <w:uiPriority w:val="99"/>
    <w:unhideWhenUsed/>
    <w:rsid w:val="004279F5"/>
    <w:pPr>
      <w:tabs>
        <w:tab w:val="center" w:pos="4513"/>
        <w:tab w:val="right" w:pos="9026"/>
      </w:tabs>
    </w:pPr>
  </w:style>
  <w:style w:type="character" w:customStyle="1" w:styleId="HeaderChar">
    <w:name w:val="Header Char"/>
    <w:basedOn w:val="DefaultParagraphFont"/>
    <w:link w:val="Header"/>
    <w:uiPriority w:val="99"/>
    <w:rsid w:val="004279F5"/>
    <w:rPr>
      <w:rFonts w:eastAsiaTheme="minorEastAsia"/>
      <w:kern w:val="0"/>
      <w:sz w:val="20"/>
      <w14:ligatures w14:val="none"/>
    </w:rPr>
  </w:style>
  <w:style w:type="table" w:styleId="TableGrid">
    <w:name w:val="Table Grid"/>
    <w:basedOn w:val="TableNormal"/>
    <w:uiPriority w:val="39"/>
    <w:rsid w:val="004279F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TLN!5149872.2</documentid>
  <senderid>GERLI.KIVISOO</senderid>
  <senderemail>GERLI.KIVISOO@ELLEX.LEGAL</senderemail>
  <lastmodified>2026-04-24T12:20:00.0000000+03:00</lastmodified>
  <database>TLN</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E408CD5D4FF84CADEF7D8CAA3006DB" ma:contentTypeVersion="13" ma:contentTypeDescription="Create a new document." ma:contentTypeScope="" ma:versionID="12a563dc71b8805918ef755667847189">
  <xsd:schema xmlns:xsd="http://www.w3.org/2001/XMLSchema" xmlns:xs="http://www.w3.org/2001/XMLSchema" xmlns:p="http://schemas.microsoft.com/office/2006/metadata/properties" xmlns:ns2="3d08a5cd-376a-4221-94bd-faa63ab99f98" xmlns:ns3="ffb5cc90-39e1-4113-9ff2-e0784fba32f7" targetNamespace="http://schemas.microsoft.com/office/2006/metadata/properties" ma:root="true" ma:fieldsID="3845a00c74d842b0b8f845a3c80488b2" ns2:_="" ns3:_="">
    <xsd:import namespace="3d08a5cd-376a-4221-94bd-faa63ab99f98"/>
    <xsd:import namespace="ffb5cc90-39e1-4113-9ff2-e0784fba3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8a5cd-376a-4221-94bd-faa63ab9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3290c9-be88-4d56-a10a-e6e121c995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cc90-39e1-4113-9ff2-e0784fba32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abb8b6-2562-4edc-9460-f6622ba74563}" ma:internalName="TaxCatchAll" ma:showField="CatchAllData" ma:web="ffb5cc90-39e1-4113-9ff2-e0784fba3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08a5cd-376a-4221-94bd-faa63ab99f98">
      <Terms xmlns="http://schemas.microsoft.com/office/infopath/2007/PartnerControls"/>
    </lcf76f155ced4ddcb4097134ff3c332f>
    <TaxCatchAll xmlns="ffb5cc90-39e1-4113-9ff2-e0784fba32f7" xsi:nil="true"/>
  </documentManagement>
</p:properties>
</file>

<file path=customXml/itemProps1.xml><?xml version="1.0" encoding="utf-8"?>
<ds:datastoreItem xmlns:ds="http://schemas.openxmlformats.org/officeDocument/2006/customXml" ds:itemID="{210E5E1E-7948-46B6-B3CD-86E51ADA9BB7}">
  <ds:schemaRefs>
    <ds:schemaRef ds:uri="http://www.imanage.com/work/xmlschema"/>
  </ds:schemaRefs>
</ds:datastoreItem>
</file>

<file path=customXml/itemProps2.xml><?xml version="1.0" encoding="utf-8"?>
<ds:datastoreItem xmlns:ds="http://schemas.openxmlformats.org/officeDocument/2006/customXml" ds:itemID="{A73C5C7D-D0D6-4BD4-984E-9DB81BBF3AD9}"/>
</file>

<file path=customXml/itemProps3.xml><?xml version="1.0" encoding="utf-8"?>
<ds:datastoreItem xmlns:ds="http://schemas.openxmlformats.org/officeDocument/2006/customXml" ds:itemID="{32EDA5F1-8FB0-4BA9-AA3B-C88C94BF366B}"/>
</file>

<file path=customXml/itemProps4.xml><?xml version="1.0" encoding="utf-8"?>
<ds:datastoreItem xmlns:ds="http://schemas.openxmlformats.org/officeDocument/2006/customXml" ds:itemID="{0957EA90-0AE2-423C-BEAE-28C10BB54287}"/>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Poska | Ellex</dc:creator>
  <cp:keywords/>
  <dc:description/>
  <cp:lastModifiedBy>Kadri Kassmann</cp:lastModifiedBy>
  <cp:revision>2</cp:revision>
  <dcterms:created xsi:type="dcterms:W3CDTF">2026-04-24T14:16:00Z</dcterms:created>
  <dcterms:modified xsi:type="dcterms:W3CDTF">2026-04-24T14:16:00Z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0x0101005DE408CD5D4FF84CADEF7D8CAA3006DB</vt:lpwstr>
  </property>
</Properties>
</file>