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6CACE" w14:textId="1BEBFB5D" w:rsidR="00CB1B2C" w:rsidRPr="008F1582" w:rsidRDefault="005563C6" w:rsidP="00E62BC8">
      <w:pPr>
        <w:spacing w:before="120" w:line="276" w:lineRule="auto"/>
        <w:jc w:val="center"/>
        <w:rPr>
          <w:rFonts w:ascii="Arial" w:hAnsi="Arial" w:cs="Arial"/>
          <w:b/>
          <w:szCs w:val="20"/>
          <w:lang w:val="en-GB"/>
        </w:rPr>
      </w:pPr>
      <w:r w:rsidRPr="008F1582">
        <w:rPr>
          <w:rFonts w:ascii="Arial" w:hAnsi="Arial" w:cs="Arial"/>
          <w:b/>
          <w:bCs/>
          <w:szCs w:val="20"/>
          <w:lang w:val="en-GB"/>
        </w:rPr>
        <w:t>ELECTRONIC VOTE</w:t>
      </w:r>
    </w:p>
    <w:p w14:paraId="0CAFBD5E" w14:textId="27C9957C" w:rsidR="00550AFB" w:rsidRPr="008F1582" w:rsidRDefault="005563C6" w:rsidP="00E62BC8">
      <w:pPr>
        <w:spacing w:before="120" w:line="276" w:lineRule="auto"/>
        <w:jc w:val="center"/>
        <w:rPr>
          <w:rFonts w:ascii="Arial" w:hAnsi="Arial" w:cs="Arial"/>
          <w:b/>
          <w:szCs w:val="20"/>
          <w:lang w:val="en-GB"/>
        </w:rPr>
      </w:pPr>
      <w:r w:rsidRPr="008F1582">
        <w:rPr>
          <w:rFonts w:ascii="Arial" w:hAnsi="Arial" w:cs="Arial"/>
          <w:b/>
          <w:bCs/>
          <w:szCs w:val="20"/>
          <w:lang w:val="en-GB"/>
        </w:rPr>
        <w:t>ON THE ITEMS ON THE AGENDA OF THE ANNUAL GENERAL MEETING OF HEPSOR AS TO BE HELD ON 2</w:t>
      </w:r>
      <w:r w:rsidR="000370C4">
        <w:rPr>
          <w:rFonts w:ascii="Arial" w:hAnsi="Arial" w:cs="Arial"/>
          <w:b/>
          <w:bCs/>
          <w:szCs w:val="20"/>
          <w:lang w:val="en-GB"/>
        </w:rPr>
        <w:t>1</w:t>
      </w:r>
      <w:r w:rsidRPr="008F1582">
        <w:rPr>
          <w:rFonts w:ascii="Arial" w:hAnsi="Arial" w:cs="Arial"/>
          <w:b/>
          <w:bCs/>
          <w:szCs w:val="20"/>
          <w:lang w:val="en-GB"/>
        </w:rPr>
        <w:t>.05.202</w:t>
      </w:r>
      <w:r w:rsidR="000370C4">
        <w:rPr>
          <w:rFonts w:ascii="Arial" w:hAnsi="Arial" w:cs="Arial"/>
          <w:b/>
          <w:bCs/>
          <w:szCs w:val="20"/>
          <w:lang w:val="en-GB"/>
        </w:rPr>
        <w:t>5</w:t>
      </w:r>
    </w:p>
    <w:p w14:paraId="4D006656" w14:textId="77777777" w:rsidR="00550AFB" w:rsidRPr="008F1582" w:rsidRDefault="00550AFB" w:rsidP="00E62BC8">
      <w:pPr>
        <w:spacing w:before="120" w:line="276" w:lineRule="auto"/>
        <w:rPr>
          <w:rFonts w:ascii="Arial" w:hAnsi="Arial" w:cs="Arial"/>
          <w:szCs w:val="20"/>
          <w:lang w:val="en-GB"/>
        </w:rPr>
      </w:pPr>
    </w:p>
    <w:p w14:paraId="2362CB02" w14:textId="77777777" w:rsidR="00550AFB" w:rsidRPr="008F1582" w:rsidRDefault="00550AFB" w:rsidP="00E62BC8">
      <w:pPr>
        <w:spacing w:before="120" w:line="276" w:lineRule="auto"/>
        <w:rPr>
          <w:rFonts w:ascii="Arial" w:hAnsi="Arial" w:cs="Arial"/>
          <w:bCs/>
          <w:szCs w:val="20"/>
          <w:lang w:val="en-GB"/>
        </w:rPr>
      </w:pPr>
      <w:r w:rsidRPr="008F1582">
        <w:rPr>
          <w:rFonts w:ascii="Arial" w:hAnsi="Arial" w:cs="Arial"/>
          <w:szCs w:val="20"/>
          <w:lang w:val="en-GB"/>
        </w:rPr>
        <w:t>Shareholder information:</w:t>
      </w:r>
    </w:p>
    <w:tbl>
      <w:tblPr>
        <w:tblStyle w:val="TableGrid"/>
        <w:tblW w:w="0" w:type="auto"/>
        <w:tblLook w:val="04A0" w:firstRow="1" w:lastRow="0" w:firstColumn="1" w:lastColumn="0" w:noHBand="0" w:noVBand="1"/>
      </w:tblPr>
      <w:tblGrid>
        <w:gridCol w:w="3397"/>
        <w:gridCol w:w="6237"/>
      </w:tblGrid>
      <w:tr w:rsidR="00550AFB" w:rsidRPr="008F1582" w14:paraId="10C64AD0" w14:textId="77777777" w:rsidTr="00E62BC8">
        <w:tc>
          <w:tcPr>
            <w:tcW w:w="3397" w:type="dxa"/>
            <w:shd w:val="clear" w:color="auto" w:fill="D9D9D9" w:themeFill="background1" w:themeFillShade="D9"/>
          </w:tcPr>
          <w:p w14:paraId="2012D66F" w14:textId="77777777" w:rsidR="00550AFB" w:rsidRPr="008F1582" w:rsidRDefault="00550AFB" w:rsidP="00E62BC8">
            <w:pPr>
              <w:spacing w:before="120" w:line="276" w:lineRule="auto"/>
              <w:rPr>
                <w:rFonts w:ascii="Arial" w:hAnsi="Arial" w:cs="Arial"/>
                <w:b/>
                <w:bCs/>
                <w:szCs w:val="20"/>
                <w:lang w:val="en-GB"/>
              </w:rPr>
            </w:pPr>
            <w:r w:rsidRPr="008F1582">
              <w:rPr>
                <w:rFonts w:ascii="Arial" w:hAnsi="Arial" w:cs="Arial"/>
                <w:b/>
                <w:bCs/>
                <w:szCs w:val="20"/>
                <w:lang w:val="en-GB"/>
              </w:rPr>
              <w:t>Name:</w:t>
            </w:r>
          </w:p>
        </w:tc>
        <w:tc>
          <w:tcPr>
            <w:tcW w:w="6237" w:type="dxa"/>
          </w:tcPr>
          <w:p w14:paraId="0DB9177A" w14:textId="77777777" w:rsidR="00550AFB" w:rsidRPr="008F1582" w:rsidRDefault="00550AFB" w:rsidP="00E62BC8">
            <w:pPr>
              <w:spacing w:before="120" w:line="276" w:lineRule="auto"/>
              <w:rPr>
                <w:rFonts w:ascii="Arial" w:hAnsi="Arial" w:cs="Arial"/>
                <w:szCs w:val="20"/>
                <w:lang w:val="en-GB"/>
              </w:rPr>
            </w:pPr>
          </w:p>
        </w:tc>
      </w:tr>
      <w:tr w:rsidR="00550AFB" w:rsidRPr="008F1582" w14:paraId="284E2D25" w14:textId="77777777" w:rsidTr="00E62BC8">
        <w:tc>
          <w:tcPr>
            <w:tcW w:w="3397" w:type="dxa"/>
            <w:shd w:val="clear" w:color="auto" w:fill="D9D9D9" w:themeFill="background1" w:themeFillShade="D9"/>
          </w:tcPr>
          <w:p w14:paraId="2230B67A" w14:textId="77777777" w:rsidR="00550AFB" w:rsidRPr="008F1582" w:rsidRDefault="00550AFB" w:rsidP="00E62BC8">
            <w:pPr>
              <w:spacing w:before="120" w:line="276" w:lineRule="auto"/>
              <w:rPr>
                <w:rFonts w:ascii="Arial" w:hAnsi="Arial" w:cs="Arial"/>
                <w:b/>
                <w:bCs/>
                <w:szCs w:val="20"/>
                <w:lang w:val="en-GB"/>
              </w:rPr>
            </w:pPr>
            <w:r w:rsidRPr="008F1582">
              <w:rPr>
                <w:rFonts w:ascii="Arial" w:hAnsi="Arial" w:cs="Arial"/>
                <w:b/>
                <w:bCs/>
                <w:szCs w:val="20"/>
                <w:lang w:val="en-GB"/>
              </w:rPr>
              <w:t>Personal identification code / Registry code</w:t>
            </w:r>
          </w:p>
        </w:tc>
        <w:tc>
          <w:tcPr>
            <w:tcW w:w="6237" w:type="dxa"/>
          </w:tcPr>
          <w:p w14:paraId="41D5208A" w14:textId="77777777" w:rsidR="00550AFB" w:rsidRPr="008F1582" w:rsidRDefault="00550AFB" w:rsidP="00E62BC8">
            <w:pPr>
              <w:spacing w:before="120" w:line="276" w:lineRule="auto"/>
              <w:rPr>
                <w:rFonts w:ascii="Arial" w:hAnsi="Arial" w:cs="Arial"/>
                <w:szCs w:val="20"/>
                <w:lang w:val="en-GB"/>
              </w:rPr>
            </w:pPr>
          </w:p>
        </w:tc>
      </w:tr>
      <w:tr w:rsidR="00550AFB" w:rsidRPr="008F1582" w14:paraId="30BB2975" w14:textId="77777777" w:rsidTr="00E62BC8">
        <w:trPr>
          <w:trHeight w:val="283"/>
        </w:trPr>
        <w:tc>
          <w:tcPr>
            <w:tcW w:w="3397" w:type="dxa"/>
            <w:shd w:val="clear" w:color="auto" w:fill="D9D9D9" w:themeFill="background1" w:themeFillShade="D9"/>
          </w:tcPr>
          <w:p w14:paraId="5A26A434" w14:textId="77777777" w:rsidR="00550AFB" w:rsidRPr="008F1582" w:rsidRDefault="00550AFB" w:rsidP="00E62BC8">
            <w:pPr>
              <w:spacing w:before="120" w:line="276" w:lineRule="auto"/>
              <w:rPr>
                <w:rFonts w:ascii="Arial" w:hAnsi="Arial" w:cs="Arial"/>
                <w:b/>
                <w:bCs/>
                <w:szCs w:val="20"/>
                <w:lang w:val="en-GB"/>
              </w:rPr>
            </w:pPr>
            <w:r w:rsidRPr="008F1582">
              <w:rPr>
                <w:rFonts w:ascii="Arial" w:hAnsi="Arial" w:cs="Arial"/>
                <w:b/>
                <w:bCs/>
                <w:szCs w:val="20"/>
                <w:lang w:val="en-GB"/>
              </w:rPr>
              <w:t>Place of residence / seat:</w:t>
            </w:r>
          </w:p>
        </w:tc>
        <w:tc>
          <w:tcPr>
            <w:tcW w:w="6237" w:type="dxa"/>
          </w:tcPr>
          <w:p w14:paraId="17764ED6" w14:textId="77777777" w:rsidR="00550AFB" w:rsidRPr="008F1582" w:rsidRDefault="00550AFB" w:rsidP="00E62BC8">
            <w:pPr>
              <w:spacing w:before="120" w:line="276" w:lineRule="auto"/>
              <w:rPr>
                <w:rFonts w:ascii="Arial" w:hAnsi="Arial" w:cs="Arial"/>
                <w:szCs w:val="20"/>
                <w:lang w:val="en-GB"/>
              </w:rPr>
            </w:pPr>
          </w:p>
        </w:tc>
      </w:tr>
      <w:tr w:rsidR="00550AFB" w:rsidRPr="008F1582" w14:paraId="78E40A37" w14:textId="77777777" w:rsidTr="00E62BC8">
        <w:trPr>
          <w:trHeight w:val="283"/>
        </w:trPr>
        <w:tc>
          <w:tcPr>
            <w:tcW w:w="3397" w:type="dxa"/>
            <w:shd w:val="clear" w:color="auto" w:fill="D9D9D9" w:themeFill="background1" w:themeFillShade="D9"/>
          </w:tcPr>
          <w:p w14:paraId="17322C72" w14:textId="237A5DDF" w:rsidR="00550AFB" w:rsidRPr="008F1582" w:rsidRDefault="00550AFB" w:rsidP="00E62BC8">
            <w:pPr>
              <w:spacing w:before="120" w:line="276" w:lineRule="auto"/>
              <w:rPr>
                <w:rFonts w:ascii="Arial" w:hAnsi="Arial" w:cs="Arial"/>
                <w:b/>
                <w:bCs/>
                <w:szCs w:val="20"/>
                <w:lang w:val="en-GB"/>
              </w:rPr>
            </w:pPr>
            <w:r w:rsidRPr="008F1582">
              <w:rPr>
                <w:rFonts w:ascii="Arial" w:hAnsi="Arial" w:cs="Arial"/>
                <w:b/>
                <w:bCs/>
                <w:szCs w:val="20"/>
                <w:lang w:val="en-GB"/>
              </w:rPr>
              <w:t>E</w:t>
            </w:r>
            <w:r w:rsidR="00940A89" w:rsidRPr="008F1582">
              <w:rPr>
                <w:rFonts w:ascii="Arial" w:hAnsi="Arial" w:cs="Arial"/>
                <w:b/>
                <w:bCs/>
                <w:szCs w:val="20"/>
                <w:lang w:val="en-GB"/>
              </w:rPr>
              <w:t>-</w:t>
            </w:r>
            <w:r w:rsidRPr="008F1582">
              <w:rPr>
                <w:rFonts w:ascii="Arial" w:hAnsi="Arial" w:cs="Arial"/>
                <w:b/>
                <w:bCs/>
                <w:szCs w:val="20"/>
                <w:lang w:val="en-GB"/>
              </w:rPr>
              <w:t>mail address:</w:t>
            </w:r>
          </w:p>
        </w:tc>
        <w:tc>
          <w:tcPr>
            <w:tcW w:w="6237" w:type="dxa"/>
          </w:tcPr>
          <w:p w14:paraId="7ADFDB11" w14:textId="77777777" w:rsidR="00550AFB" w:rsidRPr="008F1582" w:rsidRDefault="00550AFB" w:rsidP="00E62BC8">
            <w:pPr>
              <w:spacing w:before="120" w:line="276" w:lineRule="auto"/>
              <w:rPr>
                <w:rFonts w:ascii="Arial" w:hAnsi="Arial" w:cs="Arial"/>
                <w:szCs w:val="20"/>
                <w:lang w:val="en-GB"/>
              </w:rPr>
            </w:pPr>
          </w:p>
        </w:tc>
      </w:tr>
      <w:tr w:rsidR="00550AFB" w:rsidRPr="008F1582" w14:paraId="6E4481B6" w14:textId="77777777" w:rsidTr="00E62BC8">
        <w:tc>
          <w:tcPr>
            <w:tcW w:w="3397" w:type="dxa"/>
            <w:shd w:val="clear" w:color="auto" w:fill="D9D9D9" w:themeFill="background1" w:themeFillShade="D9"/>
          </w:tcPr>
          <w:p w14:paraId="5F68E7AD" w14:textId="77777777" w:rsidR="00550AFB" w:rsidRPr="008F1582" w:rsidRDefault="00550AFB" w:rsidP="00E62BC8">
            <w:pPr>
              <w:spacing w:before="120" w:line="276" w:lineRule="auto"/>
              <w:rPr>
                <w:rFonts w:ascii="Arial" w:hAnsi="Arial" w:cs="Arial"/>
                <w:b/>
                <w:bCs/>
                <w:szCs w:val="20"/>
                <w:lang w:val="en-GB"/>
              </w:rPr>
            </w:pPr>
            <w:r w:rsidRPr="008F1582">
              <w:rPr>
                <w:rFonts w:ascii="Arial" w:hAnsi="Arial" w:cs="Arial"/>
                <w:b/>
                <w:bCs/>
                <w:szCs w:val="20"/>
                <w:lang w:val="en-GB"/>
              </w:rPr>
              <w:t>Representative:</w:t>
            </w:r>
          </w:p>
        </w:tc>
        <w:tc>
          <w:tcPr>
            <w:tcW w:w="6237" w:type="dxa"/>
          </w:tcPr>
          <w:p w14:paraId="568CAFE3" w14:textId="77777777" w:rsidR="00550AFB" w:rsidRPr="008F1582" w:rsidRDefault="00550AFB" w:rsidP="00E62BC8">
            <w:pPr>
              <w:spacing w:before="120" w:line="276" w:lineRule="auto"/>
              <w:rPr>
                <w:rFonts w:ascii="Arial" w:hAnsi="Arial" w:cs="Arial"/>
                <w:szCs w:val="20"/>
                <w:lang w:val="en-GB"/>
              </w:rPr>
            </w:pPr>
          </w:p>
        </w:tc>
      </w:tr>
      <w:tr w:rsidR="00550AFB" w:rsidRPr="008F1582" w14:paraId="539DDE66" w14:textId="77777777" w:rsidTr="00E62BC8">
        <w:trPr>
          <w:trHeight w:val="577"/>
        </w:trPr>
        <w:tc>
          <w:tcPr>
            <w:tcW w:w="3397" w:type="dxa"/>
            <w:shd w:val="clear" w:color="auto" w:fill="D9D9D9" w:themeFill="background1" w:themeFillShade="D9"/>
          </w:tcPr>
          <w:p w14:paraId="553112AF" w14:textId="77777777" w:rsidR="00550AFB" w:rsidRPr="008F1582" w:rsidRDefault="00550AFB" w:rsidP="00E62BC8">
            <w:pPr>
              <w:spacing w:before="120" w:line="276" w:lineRule="auto"/>
              <w:rPr>
                <w:rFonts w:ascii="Arial" w:hAnsi="Arial" w:cs="Arial"/>
                <w:b/>
                <w:bCs/>
                <w:szCs w:val="20"/>
                <w:lang w:val="en-GB"/>
              </w:rPr>
            </w:pPr>
            <w:r w:rsidRPr="008F1582">
              <w:rPr>
                <w:rFonts w:ascii="Arial" w:hAnsi="Arial" w:cs="Arial"/>
                <w:b/>
                <w:bCs/>
                <w:szCs w:val="20"/>
                <w:lang w:val="en-GB"/>
              </w:rPr>
              <w:t>Basis of the right of representation:</w:t>
            </w:r>
          </w:p>
        </w:tc>
        <w:tc>
          <w:tcPr>
            <w:tcW w:w="6237" w:type="dxa"/>
          </w:tcPr>
          <w:p w14:paraId="56A6AF3F" w14:textId="77777777" w:rsidR="00550AFB" w:rsidRPr="008F1582" w:rsidRDefault="00550AFB" w:rsidP="00E62BC8">
            <w:pPr>
              <w:spacing w:before="120" w:line="276" w:lineRule="auto"/>
              <w:rPr>
                <w:rFonts w:ascii="Arial" w:hAnsi="Arial" w:cs="Arial"/>
                <w:szCs w:val="20"/>
                <w:lang w:val="en-GB"/>
              </w:rPr>
            </w:pPr>
          </w:p>
        </w:tc>
      </w:tr>
      <w:tr w:rsidR="00E62BC8" w:rsidRPr="008F1582" w14:paraId="25F9A7B2" w14:textId="77777777" w:rsidTr="00E62BC8">
        <w:trPr>
          <w:trHeight w:val="577"/>
        </w:trPr>
        <w:tc>
          <w:tcPr>
            <w:tcW w:w="3397" w:type="dxa"/>
            <w:shd w:val="clear" w:color="auto" w:fill="D9D9D9" w:themeFill="background1" w:themeFillShade="D9"/>
          </w:tcPr>
          <w:p w14:paraId="5CA58FA2" w14:textId="4586B67E" w:rsidR="00E62BC8" w:rsidRPr="008F1582" w:rsidRDefault="00E62BC8" w:rsidP="00E62BC8">
            <w:pPr>
              <w:spacing w:before="120" w:line="276" w:lineRule="auto"/>
              <w:rPr>
                <w:rFonts w:ascii="Arial" w:hAnsi="Arial" w:cs="Arial"/>
                <w:b/>
                <w:bCs/>
                <w:szCs w:val="20"/>
                <w:lang w:val="en-GB"/>
              </w:rPr>
            </w:pPr>
            <w:r w:rsidRPr="008F1582">
              <w:rPr>
                <w:rFonts w:ascii="Arial" w:hAnsi="Arial" w:cs="Arial"/>
                <w:b/>
                <w:bCs/>
                <w:szCs w:val="20"/>
                <w:lang w:val="en-GB"/>
              </w:rPr>
              <w:t>Votes of the shareholder (number of shares):</w:t>
            </w:r>
          </w:p>
        </w:tc>
        <w:tc>
          <w:tcPr>
            <w:tcW w:w="6237" w:type="dxa"/>
          </w:tcPr>
          <w:p w14:paraId="5684212D" w14:textId="34CC1664" w:rsidR="00E62BC8" w:rsidRPr="008F1582" w:rsidRDefault="00E62BC8" w:rsidP="00E62BC8">
            <w:pPr>
              <w:spacing w:before="120" w:line="276" w:lineRule="auto"/>
              <w:rPr>
                <w:rFonts w:ascii="Arial" w:hAnsi="Arial" w:cs="Arial"/>
                <w:szCs w:val="20"/>
                <w:lang w:val="en-GB"/>
              </w:rPr>
            </w:pPr>
          </w:p>
        </w:tc>
      </w:tr>
      <w:tr w:rsidR="00E62BC8" w:rsidRPr="008F1582" w14:paraId="72AE7553" w14:textId="77777777" w:rsidTr="00E62BC8">
        <w:trPr>
          <w:trHeight w:val="577"/>
        </w:trPr>
        <w:tc>
          <w:tcPr>
            <w:tcW w:w="3397" w:type="dxa"/>
            <w:shd w:val="clear" w:color="auto" w:fill="D9D9D9" w:themeFill="background1" w:themeFillShade="D9"/>
          </w:tcPr>
          <w:p w14:paraId="2EF53A13" w14:textId="7ABDB584" w:rsidR="00E62BC8" w:rsidRPr="008F1582" w:rsidRDefault="00E62BC8" w:rsidP="00E62BC8">
            <w:pPr>
              <w:spacing w:before="120" w:line="276" w:lineRule="auto"/>
              <w:rPr>
                <w:rFonts w:ascii="Arial" w:hAnsi="Arial" w:cs="Arial"/>
                <w:b/>
                <w:bCs/>
                <w:szCs w:val="20"/>
                <w:lang w:val="en-GB"/>
              </w:rPr>
            </w:pPr>
            <w:r w:rsidRPr="008F1582">
              <w:rPr>
                <w:rFonts w:ascii="Arial" w:hAnsi="Arial" w:cs="Arial"/>
                <w:b/>
                <w:bCs/>
                <w:szCs w:val="20"/>
                <w:lang w:val="en-GB"/>
              </w:rPr>
              <w:t>Date of casting the vote:</w:t>
            </w:r>
          </w:p>
        </w:tc>
        <w:tc>
          <w:tcPr>
            <w:tcW w:w="6237" w:type="dxa"/>
          </w:tcPr>
          <w:p w14:paraId="10C1B7A2" w14:textId="77777777" w:rsidR="00E62BC8" w:rsidRPr="008F1582" w:rsidRDefault="00E62BC8" w:rsidP="00E62BC8">
            <w:pPr>
              <w:spacing w:before="120" w:line="276" w:lineRule="auto"/>
              <w:rPr>
                <w:rFonts w:ascii="Arial" w:hAnsi="Arial" w:cs="Arial"/>
                <w:szCs w:val="20"/>
                <w:lang w:val="en-GB"/>
              </w:rPr>
            </w:pPr>
          </w:p>
        </w:tc>
      </w:tr>
    </w:tbl>
    <w:p w14:paraId="6378B20E" w14:textId="0E9AA0DD" w:rsidR="00550AFB" w:rsidRPr="008F1582" w:rsidRDefault="00E62BC8" w:rsidP="00E62BC8">
      <w:pPr>
        <w:spacing w:before="120" w:line="276" w:lineRule="auto"/>
        <w:rPr>
          <w:rFonts w:ascii="Arial" w:hAnsi="Arial" w:cs="Arial"/>
          <w:szCs w:val="20"/>
          <w:lang w:val="en-GB"/>
        </w:rPr>
      </w:pPr>
      <w:r w:rsidRPr="008F1582">
        <w:rPr>
          <w:rFonts w:ascii="Arial" w:hAnsi="Arial" w:cs="Arial"/>
          <w:szCs w:val="20"/>
          <w:lang w:val="en-GB"/>
        </w:rPr>
        <w:t>I vote with respect to the following draft resolutions as follows:</w:t>
      </w:r>
    </w:p>
    <w:tbl>
      <w:tblPr>
        <w:tblStyle w:val="TableGrid"/>
        <w:tblW w:w="9663" w:type="dxa"/>
        <w:tblLook w:val="04A0" w:firstRow="1" w:lastRow="0" w:firstColumn="1" w:lastColumn="0" w:noHBand="0" w:noVBand="1"/>
      </w:tblPr>
      <w:tblGrid>
        <w:gridCol w:w="5791"/>
        <w:gridCol w:w="3872"/>
      </w:tblGrid>
      <w:tr w:rsidR="00550AFB" w:rsidRPr="008F1582" w14:paraId="4607FAB1" w14:textId="77777777" w:rsidTr="00E62BC8">
        <w:trPr>
          <w:trHeight w:val="274"/>
        </w:trPr>
        <w:tc>
          <w:tcPr>
            <w:tcW w:w="5791" w:type="dxa"/>
            <w:shd w:val="clear" w:color="auto" w:fill="D9D9D9" w:themeFill="background1" w:themeFillShade="D9"/>
          </w:tcPr>
          <w:p w14:paraId="2853BBF2" w14:textId="257DB17A" w:rsidR="00ED6BA2" w:rsidRPr="008F1582" w:rsidRDefault="00ED6BA2" w:rsidP="00E62BC8">
            <w:pPr>
              <w:spacing w:before="120" w:line="276" w:lineRule="auto"/>
              <w:rPr>
                <w:rFonts w:ascii="Arial" w:hAnsi="Arial" w:cs="Arial"/>
                <w:b/>
                <w:szCs w:val="20"/>
                <w:lang w:val="en-GB"/>
              </w:rPr>
            </w:pPr>
            <w:r w:rsidRPr="008F1582">
              <w:rPr>
                <w:rFonts w:ascii="Arial" w:hAnsi="Arial" w:cs="Arial"/>
                <w:b/>
                <w:bCs/>
                <w:szCs w:val="20"/>
                <w:lang w:val="en-GB"/>
              </w:rPr>
              <w:t xml:space="preserve">Agenda item and the respective draft resolution </w:t>
            </w:r>
          </w:p>
        </w:tc>
        <w:tc>
          <w:tcPr>
            <w:tcW w:w="3872" w:type="dxa"/>
          </w:tcPr>
          <w:p w14:paraId="2F5E0C3B" w14:textId="77777777" w:rsidR="00550AFB" w:rsidRPr="008F1582" w:rsidRDefault="00550AFB" w:rsidP="00E62BC8">
            <w:pPr>
              <w:spacing w:before="120" w:line="276" w:lineRule="auto"/>
              <w:rPr>
                <w:rFonts w:ascii="Arial" w:hAnsi="Arial" w:cs="Arial"/>
                <w:b/>
                <w:szCs w:val="20"/>
                <w:lang w:val="en-GB"/>
              </w:rPr>
            </w:pPr>
            <w:r w:rsidRPr="008F1582">
              <w:rPr>
                <w:rFonts w:ascii="Arial" w:hAnsi="Arial" w:cs="Arial"/>
                <w:szCs w:val="20"/>
                <w:lang w:val="en-GB"/>
              </w:rPr>
              <w:t>Vote (</w:t>
            </w:r>
            <w:r w:rsidRPr="008F1582">
              <w:rPr>
                <w:rFonts w:ascii="Arial" w:hAnsi="Arial" w:cs="Arial"/>
                <w:i/>
                <w:iCs/>
                <w:szCs w:val="20"/>
                <w:lang w:val="en-GB"/>
              </w:rPr>
              <w:t>“For” marks a vote in favour and “Against” marks a vote against. Delete the vote that does not apply)</w:t>
            </w:r>
          </w:p>
        </w:tc>
      </w:tr>
      <w:tr w:rsidR="00550AFB" w:rsidRPr="008F1582" w14:paraId="05787BAF" w14:textId="77777777" w:rsidTr="00E62BC8">
        <w:trPr>
          <w:trHeight w:val="274"/>
        </w:trPr>
        <w:tc>
          <w:tcPr>
            <w:tcW w:w="5791" w:type="dxa"/>
            <w:shd w:val="clear" w:color="auto" w:fill="D9D9D9" w:themeFill="background1" w:themeFillShade="D9"/>
          </w:tcPr>
          <w:p w14:paraId="3AB52597" w14:textId="582F8BED" w:rsidR="00550AFB" w:rsidRPr="00E36BE6" w:rsidRDefault="00E72B1C" w:rsidP="00E36BE6">
            <w:pPr>
              <w:pStyle w:val="ListParagraph"/>
              <w:numPr>
                <w:ilvl w:val="0"/>
                <w:numId w:val="4"/>
              </w:numPr>
              <w:spacing w:before="120" w:line="276" w:lineRule="auto"/>
              <w:jc w:val="left"/>
              <w:rPr>
                <w:rFonts w:ascii="Arial" w:hAnsi="Arial" w:cs="Arial"/>
                <w:b/>
                <w:szCs w:val="20"/>
                <w:lang w:val="en-GB"/>
              </w:rPr>
            </w:pPr>
            <w:r w:rsidRPr="00E36BE6">
              <w:rPr>
                <w:rFonts w:ascii="Arial" w:hAnsi="Arial" w:cs="Arial"/>
                <w:b/>
                <w:bCs/>
                <w:szCs w:val="20"/>
                <w:lang w:val="en-GB"/>
              </w:rPr>
              <w:t>Approval of the 202</w:t>
            </w:r>
            <w:r w:rsidR="000370C4">
              <w:rPr>
                <w:rFonts w:ascii="Arial" w:hAnsi="Arial" w:cs="Arial"/>
                <w:b/>
                <w:bCs/>
                <w:szCs w:val="20"/>
                <w:lang w:val="en-GB"/>
              </w:rPr>
              <w:t>4</w:t>
            </w:r>
            <w:r w:rsidR="00FD39F4" w:rsidRPr="00E36BE6">
              <w:rPr>
                <w:rFonts w:ascii="Arial" w:hAnsi="Arial" w:cs="Arial"/>
                <w:b/>
                <w:bCs/>
                <w:szCs w:val="20"/>
                <w:lang w:val="en-GB"/>
              </w:rPr>
              <w:t xml:space="preserve"> </w:t>
            </w:r>
            <w:r w:rsidRPr="00E36BE6">
              <w:rPr>
                <w:rFonts w:ascii="Arial" w:hAnsi="Arial" w:cs="Arial"/>
                <w:b/>
                <w:bCs/>
                <w:szCs w:val="20"/>
                <w:lang w:val="en-GB"/>
              </w:rPr>
              <w:t xml:space="preserve">annual report </w:t>
            </w:r>
          </w:p>
          <w:p w14:paraId="1DC5C9B3" w14:textId="77777777" w:rsidR="004018D8" w:rsidRDefault="00B801EB" w:rsidP="00B801EB">
            <w:pPr>
              <w:rPr>
                <w:rFonts w:ascii="Arial" w:hAnsi="Arial" w:cs="Arial"/>
                <w:szCs w:val="20"/>
                <w:lang w:val="en-GB"/>
              </w:rPr>
            </w:pPr>
            <w:r w:rsidRPr="008F1582">
              <w:rPr>
                <w:rFonts w:ascii="Arial" w:hAnsi="Arial" w:cs="Arial"/>
                <w:szCs w:val="20"/>
                <w:lang w:val="en-GB"/>
              </w:rPr>
              <w:t xml:space="preserve">The draft resolution of the management board with respect to the first agenda item: </w:t>
            </w:r>
          </w:p>
          <w:p w14:paraId="3B29282D" w14:textId="34DCFC5C" w:rsidR="00B801EB" w:rsidRPr="00F43DA4" w:rsidRDefault="00B801EB" w:rsidP="00B801EB">
            <w:pPr>
              <w:rPr>
                <w:rFonts w:ascii="Arial" w:hAnsi="Arial" w:cs="Arial"/>
                <w:i/>
                <w:iCs/>
                <w:szCs w:val="20"/>
                <w:lang w:val="en-GB"/>
              </w:rPr>
            </w:pPr>
            <w:r w:rsidRPr="00F43DA4">
              <w:rPr>
                <w:rFonts w:ascii="Arial" w:hAnsi="Arial" w:cs="Arial"/>
                <w:i/>
                <w:iCs/>
                <w:szCs w:val="20"/>
                <w:lang w:val="en-GB"/>
              </w:rPr>
              <w:t>“</w:t>
            </w:r>
            <w:r w:rsidR="004018D8" w:rsidRPr="00F43DA4">
              <w:rPr>
                <w:rFonts w:ascii="Arial" w:hAnsi="Arial" w:cs="Arial"/>
                <w:i/>
                <w:iCs/>
                <w:szCs w:val="20"/>
                <w:lang w:val="en-GB"/>
              </w:rPr>
              <w:t>To approve the 202</w:t>
            </w:r>
            <w:r w:rsidR="000370C4">
              <w:rPr>
                <w:rFonts w:ascii="Arial" w:hAnsi="Arial" w:cs="Arial"/>
                <w:i/>
                <w:iCs/>
                <w:szCs w:val="20"/>
                <w:lang w:val="en-GB"/>
              </w:rPr>
              <w:t>4</w:t>
            </w:r>
            <w:r w:rsidR="004018D8" w:rsidRPr="00F43DA4">
              <w:rPr>
                <w:rFonts w:ascii="Arial" w:hAnsi="Arial" w:cs="Arial"/>
                <w:i/>
                <w:iCs/>
                <w:szCs w:val="20"/>
                <w:lang w:val="en-GB"/>
              </w:rPr>
              <w:t xml:space="preserve"> annual report of Hepsor AS in the form as submitted to the general meeting.”</w:t>
            </w:r>
          </w:p>
        </w:tc>
        <w:tc>
          <w:tcPr>
            <w:tcW w:w="3872" w:type="dxa"/>
          </w:tcPr>
          <w:p w14:paraId="34F711F4" w14:textId="07A5AFEE" w:rsidR="00550AFB" w:rsidRPr="008F1582" w:rsidRDefault="00495371" w:rsidP="00E62BC8">
            <w:pPr>
              <w:spacing w:before="120" w:line="276" w:lineRule="auto"/>
              <w:rPr>
                <w:rFonts w:ascii="Arial" w:hAnsi="Arial" w:cs="Arial"/>
                <w:szCs w:val="20"/>
                <w:lang w:val="en-GB"/>
              </w:rPr>
            </w:pPr>
            <w:r w:rsidRPr="008F1582">
              <w:rPr>
                <w:rFonts w:ascii="Arial" w:hAnsi="Arial" w:cs="Arial"/>
                <w:szCs w:val="20"/>
                <w:lang w:val="en-GB"/>
              </w:rPr>
              <w:t>[For / Against]</w:t>
            </w:r>
          </w:p>
        </w:tc>
      </w:tr>
      <w:tr w:rsidR="00550AFB" w:rsidRPr="008F1582" w14:paraId="7EA90DEC" w14:textId="77777777" w:rsidTr="00E62BC8">
        <w:trPr>
          <w:trHeight w:val="274"/>
        </w:trPr>
        <w:tc>
          <w:tcPr>
            <w:tcW w:w="5791" w:type="dxa"/>
            <w:shd w:val="clear" w:color="auto" w:fill="D9D9D9" w:themeFill="background1" w:themeFillShade="D9"/>
          </w:tcPr>
          <w:p w14:paraId="4108CBDE" w14:textId="589DA668" w:rsidR="00550AFB" w:rsidRPr="00E36BE6" w:rsidRDefault="00495371" w:rsidP="00E36BE6">
            <w:pPr>
              <w:pStyle w:val="ListParagraph"/>
              <w:numPr>
                <w:ilvl w:val="0"/>
                <w:numId w:val="4"/>
              </w:numPr>
              <w:spacing w:before="120" w:line="276" w:lineRule="auto"/>
              <w:jc w:val="left"/>
              <w:rPr>
                <w:rFonts w:ascii="Arial" w:hAnsi="Arial" w:cs="Arial"/>
                <w:b/>
                <w:szCs w:val="20"/>
                <w:lang w:val="en-GB"/>
              </w:rPr>
            </w:pPr>
            <w:r w:rsidRPr="00E36BE6">
              <w:rPr>
                <w:rFonts w:ascii="Arial" w:hAnsi="Arial" w:cs="Arial"/>
                <w:b/>
                <w:bCs/>
                <w:color w:val="000000" w:themeColor="text1"/>
                <w:lang w:val="en-GB"/>
              </w:rPr>
              <w:t xml:space="preserve">Distribution of profit </w:t>
            </w:r>
          </w:p>
          <w:p w14:paraId="2D751351" w14:textId="77777777" w:rsidR="00B801EB" w:rsidRDefault="00FC74E9" w:rsidP="00B801EB">
            <w:pPr>
              <w:rPr>
                <w:rFonts w:ascii="Arial" w:hAnsi="Arial" w:cs="Arial"/>
                <w:szCs w:val="20"/>
                <w:lang w:val="en-GB"/>
              </w:rPr>
            </w:pPr>
            <w:r w:rsidRPr="008F1582">
              <w:rPr>
                <w:rFonts w:ascii="Arial" w:hAnsi="Arial" w:cs="Arial"/>
                <w:szCs w:val="20"/>
                <w:lang w:val="en-GB"/>
              </w:rPr>
              <w:t>The draft resolution of the management board with respect to the second agenda item</w:t>
            </w:r>
            <w:r w:rsidR="00F832C8">
              <w:rPr>
                <w:rFonts w:ascii="Arial" w:hAnsi="Arial" w:cs="Arial"/>
                <w:szCs w:val="20"/>
                <w:lang w:val="en-GB"/>
              </w:rPr>
              <w:t>:</w:t>
            </w:r>
            <w:r w:rsidRPr="008F1582">
              <w:rPr>
                <w:rFonts w:ascii="Arial" w:hAnsi="Arial" w:cs="Arial"/>
                <w:szCs w:val="20"/>
                <w:lang w:val="en-GB"/>
              </w:rPr>
              <w:t xml:space="preserve"> </w:t>
            </w:r>
          </w:p>
          <w:p w14:paraId="5C2A0D43" w14:textId="7246D50A" w:rsidR="00C80704" w:rsidRPr="00816E24" w:rsidRDefault="00F7300A" w:rsidP="00816E24">
            <w:pPr>
              <w:spacing w:before="0" w:after="160" w:line="259" w:lineRule="auto"/>
              <w:rPr>
                <w:rFonts w:ascii="Arial" w:eastAsiaTheme="minorHAnsi" w:hAnsi="Arial" w:cs="Arial"/>
                <w:i/>
                <w:iCs/>
                <w:szCs w:val="20"/>
                <w:lang w:val="en-GB"/>
              </w:rPr>
            </w:pPr>
            <w:r w:rsidRPr="00816E24">
              <w:rPr>
                <w:rFonts w:ascii="Arial" w:eastAsiaTheme="minorHAnsi" w:hAnsi="Arial" w:cs="Arial"/>
                <w:i/>
                <w:iCs/>
                <w:szCs w:val="20"/>
                <w:lang w:val="en"/>
              </w:rPr>
              <w:t>“</w:t>
            </w:r>
            <w:r w:rsidR="00C80704" w:rsidRPr="00816E24">
              <w:rPr>
                <w:rFonts w:ascii="Arial" w:eastAsiaTheme="minorHAnsi" w:hAnsi="Arial" w:cs="Arial"/>
                <w:i/>
                <w:iCs/>
                <w:szCs w:val="20"/>
                <w:lang w:val="en-GB"/>
              </w:rPr>
              <w:t>Retained earnings from previous periods amount to 7,836 thousand euros. The net profit for the 2024 financial year is 423 thousand euros. Therefore, the total distributable profit is 8,259 thousand euros. It was decided to distribute the profit as follows:</w:t>
            </w:r>
          </w:p>
          <w:p w14:paraId="544BAAAA" w14:textId="77777777" w:rsidR="00C80704" w:rsidRPr="00C80704" w:rsidRDefault="00C80704" w:rsidP="00C80704">
            <w:pPr>
              <w:numPr>
                <w:ilvl w:val="0"/>
                <w:numId w:val="6"/>
              </w:numPr>
              <w:spacing w:before="0" w:after="160" w:line="259" w:lineRule="auto"/>
              <w:contextualSpacing/>
              <w:jc w:val="left"/>
              <w:rPr>
                <w:rFonts w:ascii="Arial" w:eastAsiaTheme="minorHAnsi" w:hAnsi="Arial" w:cs="Arial"/>
                <w:i/>
                <w:iCs/>
                <w:szCs w:val="20"/>
                <w:lang w:val="en-GB"/>
              </w:rPr>
            </w:pPr>
            <w:r w:rsidRPr="00C80704">
              <w:rPr>
                <w:rFonts w:ascii="Arial" w:eastAsiaTheme="minorHAnsi" w:hAnsi="Arial" w:cs="Arial"/>
                <w:i/>
                <w:iCs/>
                <w:szCs w:val="20"/>
                <w:lang w:val="en-GB"/>
              </w:rPr>
              <w:t>to pay a dividend in the amount of EUR 0.26 per share, i.e., to distribute a total of 1,002 thousand euros as dividends to shareholders,</w:t>
            </w:r>
          </w:p>
          <w:p w14:paraId="75DF281A" w14:textId="77777777" w:rsidR="00C80704" w:rsidRDefault="00C80704" w:rsidP="00C80704">
            <w:pPr>
              <w:numPr>
                <w:ilvl w:val="0"/>
                <w:numId w:val="6"/>
              </w:numPr>
              <w:spacing w:before="0" w:after="160" w:line="259" w:lineRule="auto"/>
              <w:contextualSpacing/>
              <w:jc w:val="left"/>
              <w:rPr>
                <w:rFonts w:ascii="Arial" w:eastAsiaTheme="minorHAnsi" w:hAnsi="Arial" w:cs="Arial"/>
                <w:i/>
                <w:iCs/>
                <w:szCs w:val="20"/>
                <w:lang w:val="en-GB"/>
              </w:rPr>
            </w:pPr>
            <w:r w:rsidRPr="00C80704">
              <w:rPr>
                <w:rFonts w:ascii="Arial" w:eastAsiaTheme="minorHAnsi" w:hAnsi="Arial" w:cs="Arial"/>
                <w:i/>
                <w:iCs/>
                <w:szCs w:val="20"/>
                <w:lang w:val="en-GB"/>
              </w:rPr>
              <w:t>not to distribute the retained earnings in the amount of 7,257 thousand euros.</w:t>
            </w:r>
          </w:p>
          <w:p w14:paraId="043DB988" w14:textId="77777777" w:rsidR="00C80704" w:rsidRPr="00C80704" w:rsidRDefault="00C80704" w:rsidP="002E7138">
            <w:pPr>
              <w:spacing w:before="0" w:after="160" w:line="259" w:lineRule="auto"/>
              <w:contextualSpacing/>
              <w:jc w:val="left"/>
              <w:rPr>
                <w:rFonts w:ascii="Arial" w:eastAsiaTheme="minorHAnsi" w:hAnsi="Arial" w:cs="Arial"/>
                <w:i/>
                <w:iCs/>
                <w:szCs w:val="20"/>
                <w:lang w:val="en-GB"/>
              </w:rPr>
            </w:pPr>
          </w:p>
          <w:p w14:paraId="7A2DAB55" w14:textId="704D58B3" w:rsidR="00062FB8" w:rsidRPr="00C80704" w:rsidRDefault="00C80704" w:rsidP="00C80704">
            <w:pPr>
              <w:spacing w:before="0" w:after="160" w:line="259" w:lineRule="auto"/>
              <w:rPr>
                <w:rFonts w:ascii="Arial" w:eastAsiaTheme="minorHAnsi" w:hAnsi="Arial" w:cs="Arial"/>
                <w:i/>
                <w:iCs/>
                <w:szCs w:val="20"/>
                <w:lang w:val="en-GB"/>
              </w:rPr>
            </w:pPr>
            <w:r w:rsidRPr="00C80704">
              <w:rPr>
                <w:rFonts w:ascii="Arial" w:eastAsiaTheme="minorHAnsi" w:hAnsi="Arial" w:cs="Arial"/>
                <w:i/>
                <w:iCs/>
                <w:szCs w:val="20"/>
                <w:lang w:val="en-GB"/>
              </w:rPr>
              <w:t>The list of shareholders entitled to receive the dividend will be fixed on 1 July 2025</w:t>
            </w:r>
            <w:r w:rsidR="007E66E5">
              <w:rPr>
                <w:rFonts w:ascii="Arial" w:eastAsiaTheme="minorHAnsi" w:hAnsi="Arial" w:cs="Arial"/>
                <w:i/>
                <w:iCs/>
                <w:szCs w:val="20"/>
                <w:lang w:val="en-GB"/>
              </w:rPr>
              <w:t xml:space="preserve"> (record date)</w:t>
            </w:r>
            <w:r w:rsidRPr="00C80704">
              <w:rPr>
                <w:rFonts w:ascii="Arial" w:eastAsiaTheme="minorHAnsi" w:hAnsi="Arial" w:cs="Arial"/>
                <w:i/>
                <w:iCs/>
                <w:szCs w:val="20"/>
                <w:lang w:val="en-GB"/>
              </w:rPr>
              <w:t xml:space="preserve">, as at the end of the business day of Nasdaq CSD’s Estonian settlement system. </w:t>
            </w:r>
            <w:r w:rsidR="007E66E5" w:rsidRPr="00F86B07">
              <w:rPr>
                <w:rFonts w:ascii="Arial" w:hAnsi="Arial" w:cs="Arial"/>
                <w:i/>
                <w:iCs/>
                <w:szCs w:val="20"/>
                <w:lang w:val="en-GB"/>
              </w:rPr>
              <w:t xml:space="preserve">Consequently, the day of change of the rights related to the shares (ex-date) is set to </w:t>
            </w:r>
            <w:r w:rsidR="007E66E5">
              <w:rPr>
                <w:rFonts w:ascii="Arial" w:hAnsi="Arial" w:cs="Arial"/>
                <w:i/>
                <w:iCs/>
                <w:szCs w:val="20"/>
                <w:lang w:val="en-GB"/>
              </w:rPr>
              <w:t xml:space="preserve">30 June 2025. </w:t>
            </w:r>
            <w:r w:rsidRPr="00C80704">
              <w:rPr>
                <w:rFonts w:ascii="Arial" w:eastAsiaTheme="minorHAnsi" w:hAnsi="Arial" w:cs="Arial"/>
                <w:i/>
                <w:iCs/>
                <w:szCs w:val="20"/>
                <w:lang w:val="en-GB"/>
              </w:rPr>
              <w:t>The dividend will be paid to shareholders by 31 August 2025 at the latest.</w:t>
            </w:r>
          </w:p>
        </w:tc>
        <w:tc>
          <w:tcPr>
            <w:tcW w:w="3872" w:type="dxa"/>
          </w:tcPr>
          <w:p w14:paraId="4512D603" w14:textId="78220D50" w:rsidR="00550AFB" w:rsidRPr="008F1582" w:rsidRDefault="00A42BB6" w:rsidP="00E62BC8">
            <w:pPr>
              <w:spacing w:before="120" w:line="276" w:lineRule="auto"/>
              <w:rPr>
                <w:rFonts w:ascii="Arial" w:hAnsi="Arial" w:cs="Arial"/>
                <w:szCs w:val="20"/>
                <w:lang w:val="en-GB"/>
              </w:rPr>
            </w:pPr>
            <w:r w:rsidRPr="008F1582">
              <w:rPr>
                <w:rFonts w:ascii="Arial" w:hAnsi="Arial" w:cs="Arial"/>
                <w:szCs w:val="20"/>
                <w:lang w:val="en-GB"/>
              </w:rPr>
              <w:lastRenderedPageBreak/>
              <w:t>[For / Against]</w:t>
            </w:r>
          </w:p>
        </w:tc>
      </w:tr>
      <w:tr w:rsidR="003C11A5" w:rsidRPr="008F1582" w14:paraId="74F3F559" w14:textId="77777777" w:rsidTr="00E62BC8">
        <w:trPr>
          <w:trHeight w:val="274"/>
        </w:trPr>
        <w:tc>
          <w:tcPr>
            <w:tcW w:w="5791" w:type="dxa"/>
            <w:shd w:val="clear" w:color="auto" w:fill="D9D9D9" w:themeFill="background1" w:themeFillShade="D9"/>
          </w:tcPr>
          <w:p w14:paraId="208ED56C" w14:textId="26AD5626" w:rsidR="003C11A5" w:rsidRDefault="003C11A5" w:rsidP="00E36BE6">
            <w:pPr>
              <w:pStyle w:val="ListParagraph"/>
              <w:numPr>
                <w:ilvl w:val="0"/>
                <w:numId w:val="4"/>
              </w:numPr>
              <w:spacing w:before="120" w:after="160" w:line="259" w:lineRule="auto"/>
              <w:rPr>
                <w:rFonts w:ascii="Arial" w:hAnsi="Arial" w:cs="Arial"/>
                <w:b/>
                <w:bCs/>
                <w:szCs w:val="20"/>
                <w:lang w:val="en-GB"/>
              </w:rPr>
            </w:pPr>
            <w:r>
              <w:rPr>
                <w:rFonts w:ascii="Arial" w:hAnsi="Arial" w:cs="Arial"/>
                <w:b/>
                <w:bCs/>
                <w:szCs w:val="20"/>
                <w:lang w:val="en-GB"/>
              </w:rPr>
              <w:t xml:space="preserve">Electing new member of the supervisory board </w:t>
            </w:r>
          </w:p>
          <w:p w14:paraId="3F917CCA" w14:textId="4D1EA17E" w:rsidR="003C11A5" w:rsidRDefault="003C11A5" w:rsidP="003C11A5">
            <w:pPr>
              <w:rPr>
                <w:rFonts w:ascii="Arial" w:hAnsi="Arial" w:cs="Arial"/>
                <w:szCs w:val="20"/>
                <w:lang w:val="en"/>
              </w:rPr>
            </w:pPr>
            <w:r w:rsidRPr="00BD5FA8">
              <w:rPr>
                <w:rFonts w:ascii="Arial" w:hAnsi="Arial" w:cs="Arial"/>
                <w:szCs w:val="20"/>
                <w:lang w:val="en"/>
              </w:rPr>
              <w:t xml:space="preserve">The draft resolution of the management board </w:t>
            </w:r>
            <w:r>
              <w:rPr>
                <w:rFonts w:ascii="Arial" w:hAnsi="Arial" w:cs="Arial"/>
                <w:szCs w:val="20"/>
                <w:lang w:val="en"/>
              </w:rPr>
              <w:t>with respect to the</w:t>
            </w:r>
            <w:r w:rsidRPr="00BD5FA8">
              <w:rPr>
                <w:rFonts w:ascii="Arial" w:hAnsi="Arial" w:cs="Arial"/>
                <w:szCs w:val="20"/>
                <w:lang w:val="en"/>
              </w:rPr>
              <w:t xml:space="preserve"> </w:t>
            </w:r>
            <w:r w:rsidR="00663FA4">
              <w:rPr>
                <w:rFonts w:ascii="Arial" w:hAnsi="Arial" w:cs="Arial"/>
                <w:szCs w:val="20"/>
                <w:lang w:val="en"/>
              </w:rPr>
              <w:t>third</w:t>
            </w:r>
            <w:r>
              <w:rPr>
                <w:rFonts w:ascii="Arial" w:hAnsi="Arial" w:cs="Arial"/>
                <w:szCs w:val="20"/>
                <w:lang w:val="en"/>
              </w:rPr>
              <w:t xml:space="preserve"> </w:t>
            </w:r>
            <w:r w:rsidRPr="00BD5FA8">
              <w:rPr>
                <w:rFonts w:ascii="Arial" w:hAnsi="Arial" w:cs="Arial"/>
                <w:szCs w:val="20"/>
                <w:lang w:val="en"/>
              </w:rPr>
              <w:t>agenda item</w:t>
            </w:r>
            <w:r>
              <w:rPr>
                <w:rFonts w:ascii="Arial" w:hAnsi="Arial" w:cs="Arial"/>
                <w:szCs w:val="20"/>
                <w:lang w:val="en"/>
              </w:rPr>
              <w:t xml:space="preserve">: </w:t>
            </w:r>
          </w:p>
          <w:p w14:paraId="26453C50" w14:textId="47DD3CFA" w:rsidR="00D172BD" w:rsidRPr="00D172BD" w:rsidRDefault="003C11A5" w:rsidP="00D172BD">
            <w:pPr>
              <w:spacing w:before="120" w:after="160" w:line="259" w:lineRule="auto"/>
              <w:rPr>
                <w:rFonts w:ascii="Arial" w:hAnsi="Arial" w:cs="Arial"/>
                <w:i/>
                <w:iCs/>
                <w:szCs w:val="20"/>
                <w:lang w:val="en"/>
              </w:rPr>
            </w:pPr>
            <w:bookmarkStart w:id="0" w:name="_Hlk194851627"/>
            <w:r w:rsidRPr="001A7EC7">
              <w:rPr>
                <w:rFonts w:ascii="Arial" w:hAnsi="Arial" w:cs="Arial"/>
                <w:i/>
                <w:iCs/>
                <w:szCs w:val="20"/>
                <w:lang w:val="en"/>
              </w:rPr>
              <w:t>“</w:t>
            </w:r>
            <w:bookmarkEnd w:id="0"/>
            <w:r w:rsidR="00D172BD" w:rsidRPr="00D172BD">
              <w:rPr>
                <w:rFonts w:ascii="Arial" w:hAnsi="Arial" w:cs="Arial"/>
                <w:i/>
                <w:iCs/>
                <w:szCs w:val="20"/>
                <w:lang w:val="en"/>
              </w:rPr>
              <w:t xml:space="preserve">To take note of the intention of Lauri Meidla, supervisory board member of Hepsor AS, to resign from his position as a member of the supervisory board, effective 31.07.2025. Due to the resignation of the supervisory board member Lauri Meidla at his own request, he has been recalled from the supervisory board of Hepsor AS </w:t>
            </w:r>
            <w:proofErr w:type="spellStart"/>
            <w:r w:rsidR="00D172BD" w:rsidRPr="00D172BD">
              <w:rPr>
                <w:rFonts w:ascii="Arial" w:hAnsi="Arial" w:cs="Arial"/>
                <w:i/>
                <w:iCs/>
                <w:szCs w:val="20"/>
                <w:lang w:val="en"/>
              </w:rPr>
              <w:t>as</w:t>
            </w:r>
            <w:proofErr w:type="spellEnd"/>
            <w:r w:rsidR="00D172BD" w:rsidRPr="00D172BD">
              <w:rPr>
                <w:rFonts w:ascii="Arial" w:hAnsi="Arial" w:cs="Arial"/>
                <w:i/>
                <w:iCs/>
                <w:szCs w:val="20"/>
                <w:lang w:val="en"/>
              </w:rPr>
              <w:t xml:space="preserve"> of 31.07.2025. </w:t>
            </w:r>
          </w:p>
          <w:p w14:paraId="48C52830" w14:textId="47ED0CBA" w:rsidR="003C11A5" w:rsidRPr="001A7EC7" w:rsidRDefault="00D172BD" w:rsidP="00D172BD">
            <w:pPr>
              <w:spacing w:before="120" w:after="160" w:line="259" w:lineRule="auto"/>
              <w:rPr>
                <w:rFonts w:ascii="Arial" w:hAnsi="Arial" w:cs="Arial"/>
                <w:b/>
                <w:bCs/>
                <w:i/>
                <w:iCs/>
                <w:szCs w:val="20"/>
                <w:lang w:val="en-GB"/>
              </w:rPr>
            </w:pPr>
            <w:r w:rsidRPr="00D172BD">
              <w:rPr>
                <w:rFonts w:ascii="Arial" w:hAnsi="Arial" w:cs="Arial"/>
                <w:i/>
                <w:iCs/>
                <w:szCs w:val="20"/>
                <w:lang w:val="en"/>
              </w:rPr>
              <w:t>To elect Henri Laks (personal identification code 38103070282, place of residence: Tallinn, Estonia) as a member of the supervisory board of Hepsor AS. The powers of Henri Laks as a member of the supervisory board of Hepsor AS will commence upon the expiry of his powers as a member of the management board of Hepsor AS, i.e., from 01.08.2025.</w:t>
            </w:r>
            <w:r>
              <w:rPr>
                <w:rFonts w:ascii="Arial" w:hAnsi="Arial" w:cs="Arial"/>
                <w:i/>
                <w:iCs/>
                <w:szCs w:val="20"/>
                <w:lang w:val="en"/>
              </w:rPr>
              <w:t>”</w:t>
            </w:r>
          </w:p>
        </w:tc>
        <w:tc>
          <w:tcPr>
            <w:tcW w:w="3872" w:type="dxa"/>
          </w:tcPr>
          <w:p w14:paraId="4EA39766" w14:textId="39C18847" w:rsidR="003C11A5" w:rsidRPr="008F1582" w:rsidRDefault="003C11A5" w:rsidP="00E62BC8">
            <w:pPr>
              <w:spacing w:before="120" w:line="276" w:lineRule="auto"/>
              <w:rPr>
                <w:rFonts w:ascii="Arial" w:hAnsi="Arial" w:cs="Arial"/>
                <w:szCs w:val="20"/>
                <w:lang w:val="en-GB"/>
              </w:rPr>
            </w:pPr>
            <w:r w:rsidRPr="008F1582">
              <w:rPr>
                <w:rFonts w:ascii="Arial" w:hAnsi="Arial" w:cs="Arial"/>
                <w:szCs w:val="20"/>
                <w:lang w:val="en-GB"/>
              </w:rPr>
              <w:t>[For / Against]</w:t>
            </w:r>
          </w:p>
        </w:tc>
      </w:tr>
      <w:tr w:rsidR="006F05D1" w:rsidRPr="008F1582" w14:paraId="7E934696" w14:textId="77777777" w:rsidTr="00E62BC8">
        <w:trPr>
          <w:trHeight w:val="274"/>
        </w:trPr>
        <w:tc>
          <w:tcPr>
            <w:tcW w:w="5791" w:type="dxa"/>
            <w:shd w:val="clear" w:color="auto" w:fill="D9D9D9" w:themeFill="background1" w:themeFillShade="D9"/>
          </w:tcPr>
          <w:p w14:paraId="2A169686" w14:textId="066163A0" w:rsidR="006F05D1" w:rsidRPr="00343DE1" w:rsidRDefault="006F05D1" w:rsidP="00343DE1">
            <w:pPr>
              <w:pStyle w:val="ListParagraph"/>
              <w:numPr>
                <w:ilvl w:val="0"/>
                <w:numId w:val="4"/>
              </w:numPr>
              <w:spacing w:before="0" w:after="160" w:line="259" w:lineRule="auto"/>
              <w:rPr>
                <w:rFonts w:ascii="Arial" w:hAnsi="Arial" w:cs="Arial"/>
                <w:b/>
                <w:bCs/>
                <w:szCs w:val="20"/>
                <w:lang w:val="en-GB"/>
              </w:rPr>
            </w:pPr>
            <w:r w:rsidRPr="00343DE1">
              <w:rPr>
                <w:rFonts w:ascii="Arial" w:hAnsi="Arial" w:cs="Arial"/>
                <w:b/>
                <w:bCs/>
                <w:szCs w:val="20"/>
                <w:lang w:val="en-GB"/>
              </w:rPr>
              <w:t>The procedure for and amount of remuneration for the members of the supervisory board</w:t>
            </w:r>
          </w:p>
          <w:p w14:paraId="48849C1D" w14:textId="4D493197" w:rsidR="006F05D1" w:rsidRDefault="006F05D1" w:rsidP="00343DE1">
            <w:pPr>
              <w:rPr>
                <w:rFonts w:ascii="Arial" w:hAnsi="Arial" w:cs="Arial"/>
                <w:szCs w:val="20"/>
                <w:lang w:val="en"/>
              </w:rPr>
            </w:pPr>
            <w:r w:rsidRPr="00BD5FA8">
              <w:rPr>
                <w:rFonts w:ascii="Arial" w:hAnsi="Arial" w:cs="Arial"/>
                <w:szCs w:val="20"/>
                <w:lang w:val="en"/>
              </w:rPr>
              <w:t>The draft resolution of the management board on the</w:t>
            </w:r>
            <w:r>
              <w:rPr>
                <w:rFonts w:ascii="Arial" w:hAnsi="Arial" w:cs="Arial"/>
                <w:szCs w:val="20"/>
                <w:lang w:val="en"/>
              </w:rPr>
              <w:t xml:space="preserve"> </w:t>
            </w:r>
            <w:r w:rsidR="00663FA4">
              <w:rPr>
                <w:rFonts w:ascii="Arial" w:hAnsi="Arial" w:cs="Arial"/>
                <w:szCs w:val="20"/>
                <w:lang w:val="en"/>
              </w:rPr>
              <w:t xml:space="preserve">fourth </w:t>
            </w:r>
            <w:r w:rsidRPr="00BD5FA8">
              <w:rPr>
                <w:rFonts w:ascii="Arial" w:hAnsi="Arial" w:cs="Arial"/>
                <w:szCs w:val="20"/>
                <w:lang w:val="en"/>
              </w:rPr>
              <w:t>agenda item</w:t>
            </w:r>
            <w:r>
              <w:rPr>
                <w:rFonts w:ascii="Arial" w:hAnsi="Arial" w:cs="Arial"/>
                <w:szCs w:val="20"/>
                <w:lang w:val="en"/>
              </w:rPr>
              <w:t>:</w:t>
            </w:r>
          </w:p>
          <w:p w14:paraId="133588F9" w14:textId="6B75F34C" w:rsidR="00343DE1" w:rsidRPr="003270FA" w:rsidRDefault="003270FA" w:rsidP="00343DE1">
            <w:pPr>
              <w:rPr>
                <w:rFonts w:ascii="Arial" w:hAnsi="Arial" w:cs="Arial"/>
                <w:i/>
                <w:iCs/>
                <w:szCs w:val="20"/>
                <w:lang w:val="en"/>
              </w:rPr>
            </w:pPr>
            <w:r w:rsidRPr="003270FA">
              <w:rPr>
                <w:rFonts w:ascii="Arial" w:hAnsi="Arial" w:cs="Arial"/>
                <w:i/>
                <w:iCs/>
                <w:szCs w:val="20"/>
                <w:lang w:val="en"/>
              </w:rPr>
              <w:t>“To approve the new remuneration of the members of the supervisory board in such a way that the total cost of the payroll fund remains unchanged compared to the previous amount. To pay each member of the supervisory board of Hepsor AS a remuneration of EUR 1,000 gross per calendar month starting from 01.08.2025, and to pay the chairman of the supervisory board of Hepsor AS a remuneration of EUR 8,000 gross per calendar month starting from 01.08.2025.”</w:t>
            </w:r>
          </w:p>
        </w:tc>
        <w:tc>
          <w:tcPr>
            <w:tcW w:w="3872" w:type="dxa"/>
          </w:tcPr>
          <w:p w14:paraId="07D48231" w14:textId="446AF98C" w:rsidR="006F05D1" w:rsidRPr="008F1582" w:rsidRDefault="006F05D1" w:rsidP="00E62BC8">
            <w:pPr>
              <w:spacing w:before="120" w:line="276" w:lineRule="auto"/>
              <w:rPr>
                <w:rFonts w:ascii="Arial" w:hAnsi="Arial" w:cs="Arial"/>
                <w:szCs w:val="20"/>
                <w:lang w:val="en-GB"/>
              </w:rPr>
            </w:pPr>
            <w:r w:rsidRPr="008F1582">
              <w:rPr>
                <w:rFonts w:ascii="Arial" w:hAnsi="Arial" w:cs="Arial"/>
                <w:szCs w:val="20"/>
                <w:lang w:val="en-GB"/>
              </w:rPr>
              <w:t>[For / Against]</w:t>
            </w:r>
          </w:p>
        </w:tc>
      </w:tr>
    </w:tbl>
    <w:p w14:paraId="3F1D6F34" w14:textId="77777777" w:rsidR="00550AFB" w:rsidRPr="008F1582" w:rsidRDefault="00550AFB" w:rsidP="00E62BC8">
      <w:pPr>
        <w:spacing w:before="120" w:line="276" w:lineRule="auto"/>
        <w:rPr>
          <w:rFonts w:ascii="Arial" w:hAnsi="Arial" w:cs="Arial"/>
          <w:szCs w:val="20"/>
          <w:lang w:val="en-GB"/>
        </w:rPr>
      </w:pPr>
    </w:p>
    <w:p w14:paraId="673FF375" w14:textId="77777777" w:rsidR="00550AFB" w:rsidRPr="008F1582" w:rsidRDefault="00550AFB" w:rsidP="00E62BC8">
      <w:pPr>
        <w:spacing w:before="120" w:line="276" w:lineRule="auto"/>
        <w:rPr>
          <w:rFonts w:ascii="Arial" w:hAnsi="Arial" w:cs="Arial"/>
          <w:i/>
          <w:iCs/>
          <w:szCs w:val="20"/>
          <w:lang w:val="en-GB"/>
        </w:rPr>
      </w:pPr>
      <w:r w:rsidRPr="008F1582">
        <w:rPr>
          <w:rFonts w:ascii="Arial" w:hAnsi="Arial" w:cs="Arial"/>
          <w:i/>
          <w:iCs/>
          <w:szCs w:val="20"/>
          <w:lang w:val="en-GB"/>
        </w:rPr>
        <w:t>/</w:t>
      </w:r>
      <w:proofErr w:type="gramStart"/>
      <w:r w:rsidRPr="008F1582">
        <w:rPr>
          <w:rFonts w:ascii="Arial" w:hAnsi="Arial" w:cs="Arial"/>
          <w:i/>
          <w:iCs/>
          <w:szCs w:val="20"/>
          <w:lang w:val="en-GB"/>
        </w:rPr>
        <w:t>signed</w:t>
      </w:r>
      <w:proofErr w:type="gramEnd"/>
      <w:r w:rsidRPr="008F1582">
        <w:rPr>
          <w:rFonts w:ascii="Arial" w:hAnsi="Arial" w:cs="Arial"/>
          <w:i/>
          <w:iCs/>
          <w:szCs w:val="20"/>
          <w:lang w:val="en-GB"/>
        </w:rPr>
        <w:t xml:space="preserve"> digitally/</w:t>
      </w:r>
    </w:p>
    <w:p w14:paraId="1B6BB9FB" w14:textId="77777777" w:rsidR="00550AFB" w:rsidRPr="008F1582" w:rsidRDefault="00550AFB" w:rsidP="00E62BC8">
      <w:pPr>
        <w:spacing w:before="120" w:line="276" w:lineRule="auto"/>
        <w:rPr>
          <w:rFonts w:ascii="Arial" w:hAnsi="Arial" w:cs="Arial"/>
          <w:szCs w:val="20"/>
          <w:lang w:val="en-GB"/>
        </w:rPr>
      </w:pPr>
      <w:r w:rsidRPr="008F1582">
        <w:rPr>
          <w:rFonts w:ascii="Arial" w:hAnsi="Arial" w:cs="Arial"/>
          <w:szCs w:val="20"/>
          <w:lang w:val="en-GB"/>
        </w:rPr>
        <w:t>[Name of the shareholder]</w:t>
      </w:r>
    </w:p>
    <w:p w14:paraId="0ECA89EF" w14:textId="77777777" w:rsidR="00550AFB" w:rsidRPr="008F1582" w:rsidRDefault="00550AFB" w:rsidP="00E62BC8">
      <w:pPr>
        <w:spacing w:before="120" w:line="276" w:lineRule="auto"/>
        <w:jc w:val="left"/>
        <w:rPr>
          <w:rFonts w:ascii="Arial" w:hAnsi="Arial" w:cs="Arial"/>
          <w:color w:val="000000" w:themeColor="text1"/>
          <w:szCs w:val="20"/>
          <w:shd w:val="clear" w:color="auto" w:fill="FFFFFF"/>
          <w:lang w:val="en-GB"/>
        </w:rPr>
      </w:pPr>
      <w:r w:rsidRPr="008F1582">
        <w:rPr>
          <w:rFonts w:ascii="Arial" w:hAnsi="Arial" w:cs="Arial"/>
          <w:color w:val="000000" w:themeColor="text1"/>
          <w:szCs w:val="20"/>
          <w:shd w:val="clear" w:color="auto" w:fill="FFFFFF"/>
          <w:lang w:val="en-GB"/>
        </w:rPr>
        <w:t xml:space="preserve"> </w:t>
      </w:r>
    </w:p>
    <w:p w14:paraId="01C38552" w14:textId="77777777" w:rsidR="004C17EC" w:rsidRPr="008F1582" w:rsidRDefault="004C17EC" w:rsidP="00E62BC8">
      <w:pPr>
        <w:spacing w:before="120" w:line="276" w:lineRule="auto"/>
        <w:rPr>
          <w:lang w:val="en-GB"/>
        </w:rPr>
      </w:pPr>
    </w:p>
    <w:sectPr w:rsidR="004C17EC" w:rsidRPr="008F1582" w:rsidSect="007F1CFB">
      <w:headerReference w:type="default" r:id="rId8"/>
      <w:pgSz w:w="11900" w:h="16840"/>
      <w:pgMar w:top="1418" w:right="1021" w:bottom="1418" w:left="1021" w:header="68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82AC4" w14:textId="77777777" w:rsidR="00DA27CD" w:rsidRDefault="00AE5B82">
      <w:pPr>
        <w:spacing w:before="0" w:after="0"/>
      </w:pPr>
      <w:r>
        <w:separator/>
      </w:r>
    </w:p>
  </w:endnote>
  <w:endnote w:type="continuationSeparator" w:id="0">
    <w:p w14:paraId="550083A0" w14:textId="77777777" w:rsidR="00DA27CD" w:rsidRDefault="00AE5B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7D8C3" w14:textId="77777777" w:rsidR="00DA27CD" w:rsidRDefault="00AE5B82">
      <w:pPr>
        <w:spacing w:before="0" w:after="0"/>
      </w:pPr>
      <w:r>
        <w:separator/>
      </w:r>
    </w:p>
  </w:footnote>
  <w:footnote w:type="continuationSeparator" w:id="0">
    <w:p w14:paraId="5AD55DCA" w14:textId="77777777" w:rsidR="00DA27CD" w:rsidRDefault="00AE5B8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A4EB3" w14:textId="46FC3C85" w:rsidR="00F43DA4" w:rsidRDefault="00F43DA4" w:rsidP="007F1CF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F27806"/>
    <w:multiLevelType w:val="hybridMultilevel"/>
    <w:tmpl w:val="C18A729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516A0A54"/>
    <w:multiLevelType w:val="hybridMultilevel"/>
    <w:tmpl w:val="38162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2101CE"/>
    <w:multiLevelType w:val="hybridMultilevel"/>
    <w:tmpl w:val="C95A0720"/>
    <w:lvl w:ilvl="0" w:tplc="659A29B0">
      <w:start w:val="5"/>
      <w:numFmt w:val="bullet"/>
      <w:lvlText w:val="-"/>
      <w:lvlJc w:val="left"/>
      <w:pPr>
        <w:ind w:left="1080" w:hanging="360"/>
      </w:pPr>
      <w:rPr>
        <w:rFonts w:ascii="Arial" w:eastAsiaTheme="minorHAnsi" w:hAnsi="Arial" w:cs="Aria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15:restartNumberingAfterBreak="0">
    <w:nsid w:val="781A54C5"/>
    <w:multiLevelType w:val="hybridMultilevel"/>
    <w:tmpl w:val="8A1A96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92B41FD"/>
    <w:multiLevelType w:val="hybridMultilevel"/>
    <w:tmpl w:val="B3B4B290"/>
    <w:lvl w:ilvl="0" w:tplc="8B9AF90A">
      <w:start w:val="3"/>
      <w:numFmt w:val="bullet"/>
      <w:lvlText w:val="-"/>
      <w:lvlJc w:val="left"/>
      <w:pPr>
        <w:ind w:left="1080" w:hanging="360"/>
      </w:pPr>
      <w:rPr>
        <w:rFonts w:ascii="Arial" w:eastAsiaTheme="minorHAnsi" w:hAnsi="Arial" w:cs="Aria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 w15:restartNumberingAfterBreak="0">
    <w:nsid w:val="7E751B89"/>
    <w:multiLevelType w:val="hybridMultilevel"/>
    <w:tmpl w:val="2292C7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44099970">
    <w:abstractNumId w:val="1"/>
  </w:num>
  <w:num w:numId="2" w16cid:durableId="253520387">
    <w:abstractNumId w:val="4"/>
  </w:num>
  <w:num w:numId="3" w16cid:durableId="2061199001">
    <w:abstractNumId w:val="5"/>
  </w:num>
  <w:num w:numId="4" w16cid:durableId="336806367">
    <w:abstractNumId w:val="3"/>
  </w:num>
  <w:num w:numId="5" w16cid:durableId="2097096201">
    <w:abstractNumId w:val="0"/>
  </w:num>
  <w:num w:numId="6" w16cid:durableId="1575161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FB"/>
    <w:rsid w:val="000238D2"/>
    <w:rsid w:val="00034DF8"/>
    <w:rsid w:val="000370C4"/>
    <w:rsid w:val="00062FB8"/>
    <w:rsid w:val="000830FA"/>
    <w:rsid w:val="00084C5A"/>
    <w:rsid w:val="000D5CB8"/>
    <w:rsid w:val="00107BD2"/>
    <w:rsid w:val="00164528"/>
    <w:rsid w:val="00185994"/>
    <w:rsid w:val="001916BB"/>
    <w:rsid w:val="00197E2A"/>
    <w:rsid w:val="001A54AC"/>
    <w:rsid w:val="001A7EC7"/>
    <w:rsid w:val="00211695"/>
    <w:rsid w:val="00230DCB"/>
    <w:rsid w:val="00251F9F"/>
    <w:rsid w:val="00274E7A"/>
    <w:rsid w:val="0028636D"/>
    <w:rsid w:val="002925B5"/>
    <w:rsid w:val="002A08FA"/>
    <w:rsid w:val="002B46E1"/>
    <w:rsid w:val="002C25D4"/>
    <w:rsid w:val="002C5FF7"/>
    <w:rsid w:val="002E2A96"/>
    <w:rsid w:val="002E7138"/>
    <w:rsid w:val="00316CAA"/>
    <w:rsid w:val="003209B1"/>
    <w:rsid w:val="003270FA"/>
    <w:rsid w:val="00331FEE"/>
    <w:rsid w:val="00343DE1"/>
    <w:rsid w:val="00352588"/>
    <w:rsid w:val="003954F7"/>
    <w:rsid w:val="003C11A5"/>
    <w:rsid w:val="004018D8"/>
    <w:rsid w:val="004130BD"/>
    <w:rsid w:val="004327EB"/>
    <w:rsid w:val="0043291A"/>
    <w:rsid w:val="00445BBC"/>
    <w:rsid w:val="00490FE5"/>
    <w:rsid w:val="00495371"/>
    <w:rsid w:val="004B3C54"/>
    <w:rsid w:val="004C17EC"/>
    <w:rsid w:val="004C462E"/>
    <w:rsid w:val="00507B47"/>
    <w:rsid w:val="00516358"/>
    <w:rsid w:val="00525EC2"/>
    <w:rsid w:val="00540ABC"/>
    <w:rsid w:val="00550AFB"/>
    <w:rsid w:val="005563C6"/>
    <w:rsid w:val="005614D4"/>
    <w:rsid w:val="005A3AA0"/>
    <w:rsid w:val="005A4D7B"/>
    <w:rsid w:val="00625E16"/>
    <w:rsid w:val="00630754"/>
    <w:rsid w:val="00634FBD"/>
    <w:rsid w:val="006378CB"/>
    <w:rsid w:val="00637EEC"/>
    <w:rsid w:val="00654AA6"/>
    <w:rsid w:val="00654E9A"/>
    <w:rsid w:val="00663BFE"/>
    <w:rsid w:val="00663FA4"/>
    <w:rsid w:val="006901D2"/>
    <w:rsid w:val="006914C3"/>
    <w:rsid w:val="00694C03"/>
    <w:rsid w:val="006A7676"/>
    <w:rsid w:val="006B086B"/>
    <w:rsid w:val="006B0A16"/>
    <w:rsid w:val="006B1F72"/>
    <w:rsid w:val="006B357A"/>
    <w:rsid w:val="006B5B3F"/>
    <w:rsid w:val="006F05D1"/>
    <w:rsid w:val="00713B36"/>
    <w:rsid w:val="007153E2"/>
    <w:rsid w:val="00723E0F"/>
    <w:rsid w:val="007429BF"/>
    <w:rsid w:val="007619D5"/>
    <w:rsid w:val="007637CB"/>
    <w:rsid w:val="0077544C"/>
    <w:rsid w:val="00791D9D"/>
    <w:rsid w:val="007978C7"/>
    <w:rsid w:val="007A326B"/>
    <w:rsid w:val="007D16E7"/>
    <w:rsid w:val="007D211E"/>
    <w:rsid w:val="007E66E5"/>
    <w:rsid w:val="00816E24"/>
    <w:rsid w:val="00826CA2"/>
    <w:rsid w:val="00862310"/>
    <w:rsid w:val="00884F5A"/>
    <w:rsid w:val="00885F23"/>
    <w:rsid w:val="00886BA5"/>
    <w:rsid w:val="008B6ED3"/>
    <w:rsid w:val="008F1582"/>
    <w:rsid w:val="0090214D"/>
    <w:rsid w:val="00904784"/>
    <w:rsid w:val="00940A89"/>
    <w:rsid w:val="009A74C6"/>
    <w:rsid w:val="009B1039"/>
    <w:rsid w:val="009D1F4C"/>
    <w:rsid w:val="009E08C0"/>
    <w:rsid w:val="00A42BB6"/>
    <w:rsid w:val="00A4720C"/>
    <w:rsid w:val="00AC0D53"/>
    <w:rsid w:val="00AE5B82"/>
    <w:rsid w:val="00AF0ACF"/>
    <w:rsid w:val="00B10DB6"/>
    <w:rsid w:val="00B163D8"/>
    <w:rsid w:val="00B232B4"/>
    <w:rsid w:val="00B4615D"/>
    <w:rsid w:val="00B801EB"/>
    <w:rsid w:val="00B93DEE"/>
    <w:rsid w:val="00BB0E16"/>
    <w:rsid w:val="00BC0941"/>
    <w:rsid w:val="00BD3F1A"/>
    <w:rsid w:val="00BE0320"/>
    <w:rsid w:val="00BF1565"/>
    <w:rsid w:val="00C80704"/>
    <w:rsid w:val="00C8176F"/>
    <w:rsid w:val="00CB1B2C"/>
    <w:rsid w:val="00CE2B62"/>
    <w:rsid w:val="00D05FAB"/>
    <w:rsid w:val="00D13163"/>
    <w:rsid w:val="00D14C6D"/>
    <w:rsid w:val="00D172BD"/>
    <w:rsid w:val="00D4744D"/>
    <w:rsid w:val="00D6234F"/>
    <w:rsid w:val="00D7718B"/>
    <w:rsid w:val="00D7761F"/>
    <w:rsid w:val="00DA27CD"/>
    <w:rsid w:val="00DD6344"/>
    <w:rsid w:val="00E10E2E"/>
    <w:rsid w:val="00E36BE6"/>
    <w:rsid w:val="00E62BC8"/>
    <w:rsid w:val="00E72B1C"/>
    <w:rsid w:val="00E76FA0"/>
    <w:rsid w:val="00EA2E0B"/>
    <w:rsid w:val="00EB707B"/>
    <w:rsid w:val="00EC4143"/>
    <w:rsid w:val="00ED6BA2"/>
    <w:rsid w:val="00ED7D97"/>
    <w:rsid w:val="00F17321"/>
    <w:rsid w:val="00F43DA4"/>
    <w:rsid w:val="00F445F6"/>
    <w:rsid w:val="00F7300A"/>
    <w:rsid w:val="00F7485E"/>
    <w:rsid w:val="00F832C8"/>
    <w:rsid w:val="00FB226A"/>
    <w:rsid w:val="00FC74E9"/>
    <w:rsid w:val="00FD39F4"/>
    <w:rsid w:val="00FD453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B0FD8"/>
  <w15:chartTrackingRefBased/>
  <w15:docId w15:val="{05F23401-11CC-4160-95AD-0516A8AC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AFB"/>
    <w:pPr>
      <w:spacing w:before="200" w:after="120" w:line="240" w:lineRule="auto"/>
      <w:jc w:val="both"/>
    </w:pPr>
    <w:rPr>
      <w:rFonts w:eastAsiaTheme="minorEastAsia"/>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AFB"/>
    <w:pPr>
      <w:tabs>
        <w:tab w:val="center" w:pos="4513"/>
        <w:tab w:val="right" w:pos="9026"/>
      </w:tabs>
    </w:pPr>
  </w:style>
  <w:style w:type="character" w:customStyle="1" w:styleId="HeaderChar">
    <w:name w:val="Header Char"/>
    <w:basedOn w:val="DefaultParagraphFont"/>
    <w:link w:val="Header"/>
    <w:uiPriority w:val="99"/>
    <w:rsid w:val="00550AFB"/>
    <w:rPr>
      <w:rFonts w:eastAsiaTheme="minorEastAsia"/>
      <w:sz w:val="20"/>
      <w:szCs w:val="24"/>
    </w:rPr>
  </w:style>
  <w:style w:type="paragraph" w:styleId="Footer">
    <w:name w:val="footer"/>
    <w:basedOn w:val="Normal"/>
    <w:link w:val="FooterChar"/>
    <w:uiPriority w:val="99"/>
    <w:unhideWhenUsed/>
    <w:rsid w:val="00550AFB"/>
    <w:pPr>
      <w:tabs>
        <w:tab w:val="center" w:pos="4513"/>
        <w:tab w:val="right" w:pos="9026"/>
      </w:tabs>
    </w:pPr>
  </w:style>
  <w:style w:type="character" w:customStyle="1" w:styleId="FooterChar">
    <w:name w:val="Footer Char"/>
    <w:basedOn w:val="DefaultParagraphFont"/>
    <w:link w:val="Footer"/>
    <w:uiPriority w:val="99"/>
    <w:rsid w:val="00550AFB"/>
    <w:rPr>
      <w:rFonts w:eastAsiaTheme="minorEastAsia"/>
      <w:sz w:val="20"/>
      <w:szCs w:val="24"/>
    </w:rPr>
  </w:style>
  <w:style w:type="paragraph" w:styleId="ListParagraph">
    <w:name w:val="List Paragraph"/>
    <w:basedOn w:val="Normal"/>
    <w:uiPriority w:val="34"/>
    <w:qFormat/>
    <w:rsid w:val="00550AFB"/>
    <w:pPr>
      <w:ind w:left="720"/>
      <w:contextualSpacing/>
    </w:pPr>
  </w:style>
  <w:style w:type="table" w:styleId="TableGrid">
    <w:name w:val="Table Grid"/>
    <w:basedOn w:val="TableNormal"/>
    <w:uiPriority w:val="39"/>
    <w:rsid w:val="00550AF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 T L N ! 5 0 2 7 2 9 4 . 1 < / d o c u m e n t i d >  
     < s e n d e r i d > M E R E E . P U N A B < / s e n d e r i d >  
     < s e n d e r e m a i l > M E R E E . P U N A B @ E L L E X . L E G A L < / s e n d e r e m a i l >  
     < l a s t m o d i f i e d > 2 0 2 5 - 0 4 - 2 4 T 1 0 : 1 6 : 0 0 . 0 0 0 0 0 0 0 + 0 3 : 0 0 < / l a s t m o d i f i e d >  
     < d a t a b a s e > T L N < / d a t a b a s e >  
 < / p r o p e r t i e s > 
</file>

<file path=customXml/itemProps1.xml><?xml version="1.0" encoding="utf-8"?>
<ds:datastoreItem xmlns:ds="http://schemas.openxmlformats.org/officeDocument/2006/customXml" ds:itemID="{17B752ED-EEEB-4D19-BB13-DAA8D186F04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2822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Ellex Raidla</dc:creator>
  <cp:keywords/>
  <dc:description/>
  <cp:lastModifiedBy>Kadri Kassmann</cp:lastModifiedBy>
  <cp:revision>2</cp:revision>
  <cp:lastPrinted>2025-04-24T07:14:00Z</cp:lastPrinted>
  <dcterms:created xsi:type="dcterms:W3CDTF">2025-04-24T10:29:00Z</dcterms:created>
  <dcterms:modified xsi:type="dcterms:W3CDTF">2025-04-24T10:29:00Z</dcterms:modified>
</cp:coreProperties>
</file>